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59093">
      <w:pPr>
        <w:adjustRightInd w:val="0"/>
        <w:spacing w:line="360" w:lineRule="auto"/>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 </w:t>
      </w:r>
    </w:p>
    <w:p w14:paraId="7BA826F9">
      <w:pPr>
        <w:adjustRightInd w:val="0"/>
        <w:spacing w:line="360" w:lineRule="auto"/>
        <w:jc w:val="center"/>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CCAA团体</w:t>
      </w:r>
      <w:r>
        <w:rPr>
          <w:rFonts w:ascii="黑体" w:hAnsi="黑体" w:eastAsia="黑体"/>
          <w:color w:val="000000" w:themeColor="text1"/>
          <w:sz w:val="32"/>
          <w:szCs w:val="32"/>
          <w14:textFill>
            <w14:solidFill>
              <w14:schemeClr w14:val="tx1"/>
            </w14:solidFill>
          </w14:textFill>
        </w:rPr>
        <w:t>标准草案编制说明</w:t>
      </w:r>
    </w:p>
    <w:p w14:paraId="7CEC1AE9">
      <w:pPr>
        <w:autoSpaceDE w:val="0"/>
        <w:autoSpaceDN w:val="0"/>
        <w:adjustRightInd w:val="0"/>
        <w:jc w:val="center"/>
        <w:rPr>
          <w:rFonts w:hint="eastAsia" w:asciiTheme="minorEastAsia" w:hAnsiTheme="minorEastAsia"/>
          <w:color w:val="000000" w:themeColor="text1"/>
          <w:szCs w:val="21"/>
          <w14:textFill>
            <w14:solidFill>
              <w14:schemeClr w14:val="tx1"/>
            </w14:solidFill>
          </w14:textFill>
        </w:rPr>
      </w:pPr>
    </w:p>
    <w:tbl>
      <w:tblPr>
        <w:tblStyle w:val="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29"/>
        <w:gridCol w:w="65"/>
        <w:gridCol w:w="1384"/>
        <w:gridCol w:w="2790"/>
        <w:gridCol w:w="1260"/>
        <w:gridCol w:w="2156"/>
      </w:tblGrid>
      <w:tr w14:paraId="613495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9384" w:type="dxa"/>
            <w:gridSpan w:val="6"/>
            <w:tcBorders>
              <w:top w:val="single" w:color="auto" w:sz="4" w:space="0"/>
              <w:left w:val="single" w:color="auto" w:sz="4" w:space="0"/>
              <w:bottom w:val="single" w:color="auto" w:sz="4" w:space="0"/>
              <w:right w:val="single" w:color="auto" w:sz="4" w:space="0"/>
            </w:tcBorders>
            <w:vAlign w:val="center"/>
          </w:tcPr>
          <w:p w14:paraId="08D1519C">
            <w:pPr>
              <w:jc w:val="center"/>
              <w:rPr>
                <w:rFonts w:hint="eastAsia"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基本信息</w:t>
            </w:r>
          </w:p>
        </w:tc>
      </w:tr>
      <w:tr w14:paraId="1691E9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29" w:type="dxa"/>
            <w:vMerge w:val="restart"/>
            <w:tcBorders>
              <w:top w:val="single" w:color="auto" w:sz="4" w:space="0"/>
              <w:left w:val="single" w:color="auto" w:sz="4" w:space="0"/>
              <w:bottom w:val="single" w:color="auto" w:sz="4" w:space="0"/>
              <w:right w:val="single" w:color="auto" w:sz="4" w:space="0"/>
            </w:tcBorders>
            <w:vAlign w:val="center"/>
          </w:tcPr>
          <w:p w14:paraId="396A7C86">
            <w:pPr>
              <w:ind w:right="176" w:rightChars="84"/>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标准草案名称</w:t>
            </w:r>
          </w:p>
        </w:tc>
        <w:tc>
          <w:tcPr>
            <w:tcW w:w="1449" w:type="dxa"/>
            <w:gridSpan w:val="2"/>
            <w:tcBorders>
              <w:top w:val="single" w:color="auto" w:sz="4" w:space="0"/>
              <w:left w:val="single" w:color="auto" w:sz="4" w:space="0"/>
              <w:bottom w:val="single" w:color="auto" w:sz="4" w:space="0"/>
              <w:right w:val="single" w:color="auto" w:sz="4" w:space="0"/>
            </w:tcBorders>
            <w:vAlign w:val="center"/>
          </w:tcPr>
          <w:p w14:paraId="4537FF50">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中文</w:t>
            </w:r>
          </w:p>
        </w:tc>
        <w:tc>
          <w:tcPr>
            <w:tcW w:w="6206" w:type="dxa"/>
            <w:gridSpan w:val="3"/>
            <w:tcBorders>
              <w:top w:val="single" w:color="auto" w:sz="4" w:space="0"/>
              <w:left w:val="single" w:color="auto" w:sz="4" w:space="0"/>
              <w:bottom w:val="single" w:color="auto" w:sz="4" w:space="0"/>
              <w:right w:val="single" w:color="auto" w:sz="4" w:space="0"/>
            </w:tcBorders>
            <w:vAlign w:val="center"/>
          </w:tcPr>
          <w:p w14:paraId="104A89B7">
            <w:pPr>
              <w:ind w:right="176" w:rightChars="84"/>
              <w:rPr>
                <w:rFonts w:hint="default" w:ascii="Times New Roman" w:hAnsi="Times New Roman" w:cs="Times New Roman" w:eastAsiaTheme="minorEastAsia"/>
                <w:bCs/>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碳管理体系 钢铁企业要求</w:t>
            </w:r>
          </w:p>
        </w:tc>
      </w:tr>
      <w:tr w14:paraId="522278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29" w:type="dxa"/>
            <w:vMerge w:val="continue"/>
            <w:tcBorders>
              <w:top w:val="single" w:color="auto" w:sz="4" w:space="0"/>
              <w:left w:val="single" w:color="auto" w:sz="4" w:space="0"/>
              <w:bottom w:val="single" w:color="auto" w:sz="4" w:space="0"/>
              <w:right w:val="single" w:color="auto" w:sz="4" w:space="0"/>
            </w:tcBorders>
            <w:vAlign w:val="center"/>
          </w:tcPr>
          <w:p w14:paraId="76B0152C">
            <w:pPr>
              <w:ind w:left="141" w:leftChars="67" w:right="176" w:rightChars="84"/>
              <w:jc w:val="center"/>
              <w:rPr>
                <w:rFonts w:hint="default" w:ascii="Times New Roman" w:hAnsi="Times New Roman" w:cs="Times New Roman"/>
                <w:color w:val="000000" w:themeColor="text1"/>
                <w:szCs w:val="21"/>
                <w14:textFill>
                  <w14:solidFill>
                    <w14:schemeClr w14:val="tx1"/>
                  </w14:solidFill>
                </w14:textFill>
              </w:rPr>
            </w:pPr>
          </w:p>
        </w:tc>
        <w:tc>
          <w:tcPr>
            <w:tcW w:w="1449" w:type="dxa"/>
            <w:gridSpan w:val="2"/>
            <w:tcBorders>
              <w:top w:val="single" w:color="auto" w:sz="4" w:space="0"/>
              <w:left w:val="single" w:color="auto" w:sz="4" w:space="0"/>
              <w:bottom w:val="single" w:color="auto" w:sz="6" w:space="0"/>
              <w:right w:val="single" w:color="auto" w:sz="4" w:space="0"/>
            </w:tcBorders>
            <w:vAlign w:val="center"/>
          </w:tcPr>
          <w:p w14:paraId="5C292FE5">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英文</w:t>
            </w:r>
          </w:p>
        </w:tc>
        <w:tc>
          <w:tcPr>
            <w:tcW w:w="6206" w:type="dxa"/>
            <w:gridSpan w:val="3"/>
            <w:tcBorders>
              <w:top w:val="single" w:color="auto" w:sz="4" w:space="0"/>
              <w:left w:val="single" w:color="auto" w:sz="4" w:space="0"/>
              <w:bottom w:val="single" w:color="auto" w:sz="4" w:space="0"/>
            </w:tcBorders>
            <w:vAlign w:val="center"/>
          </w:tcPr>
          <w:p w14:paraId="331F4839">
            <w:pPr>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Carbon management systems-Requirements for iron and steel enterprise</w:t>
            </w:r>
          </w:p>
        </w:tc>
      </w:tr>
      <w:tr w14:paraId="4A41E3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29" w:type="dxa"/>
            <w:tcBorders>
              <w:right w:val="single" w:color="auto" w:sz="4" w:space="0"/>
            </w:tcBorders>
            <w:vAlign w:val="center"/>
          </w:tcPr>
          <w:p w14:paraId="0F886A4A">
            <w:pPr>
              <w:ind w:right="176" w:rightChars="84"/>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项目类型</w:t>
            </w:r>
          </w:p>
        </w:tc>
        <w:tc>
          <w:tcPr>
            <w:tcW w:w="4239" w:type="dxa"/>
            <w:gridSpan w:val="3"/>
            <w:tcBorders>
              <w:left w:val="single" w:color="auto" w:sz="4" w:space="0"/>
              <w:bottom w:val="single" w:color="auto" w:sz="4" w:space="0"/>
              <w:right w:val="single" w:color="auto" w:sz="4" w:space="0"/>
            </w:tcBorders>
            <w:vAlign w:val="center"/>
          </w:tcPr>
          <w:p w14:paraId="7F624D54">
            <w:pPr>
              <w:rPr>
                <w:rFonts w:hint="default" w:ascii="Times New Roman" w:hAnsi="Times New Roman" w:cs="Times New Roman"/>
                <w:snapToGrid w:val="0"/>
                <w:color w:val="000000" w:themeColor="text1"/>
                <w:kern w:val="0"/>
                <w:szCs w:val="21"/>
                <w14:textFill>
                  <w14:solidFill>
                    <w14:schemeClr w14:val="tx1"/>
                  </w14:solidFill>
                </w14:textFill>
              </w:rPr>
            </w:pPr>
            <w:r>
              <w:rPr>
                <w:rFonts w:hint="default" w:ascii="Times New Roman" w:hAnsi="Times New Roman" w:cs="Times New Roman"/>
                <w:snapToGrid w:val="0"/>
                <w:color w:val="000000" w:themeColor="text1"/>
                <w:kern w:val="0"/>
                <w:szCs w:val="21"/>
                <w:lang w:eastAsia="zh-CN"/>
                <w14:textFill>
                  <w14:solidFill>
                    <w14:schemeClr w14:val="tx1"/>
                  </w14:solidFill>
                </w14:textFill>
              </w:rPr>
              <w:t>☑</w:t>
            </w:r>
            <w:r>
              <w:rPr>
                <w:rFonts w:hint="default" w:ascii="Times New Roman" w:hAnsi="Times New Roman" w:cs="Times New Roman"/>
                <w:snapToGrid w:val="0"/>
                <w:color w:val="000000" w:themeColor="text1"/>
                <w:kern w:val="0"/>
                <w:szCs w:val="21"/>
                <w14:textFill>
                  <w14:solidFill>
                    <w14:schemeClr w14:val="tx1"/>
                  </w14:solidFill>
                </w14:textFill>
              </w:rPr>
              <w:t xml:space="preserve">制定     </w:t>
            </w:r>
            <w:r>
              <w:rPr>
                <w:rFonts w:hint="eastAsia" w:ascii="Times New Roman" w:hAnsi="Times New Roman" w:cs="Times New Roman"/>
                <w:snapToGrid w:val="0"/>
                <w:color w:val="000000" w:themeColor="text1"/>
                <w:kern w:val="0"/>
                <w:szCs w:val="21"/>
                <w:lang w:eastAsia="zh-CN"/>
                <w14:textFill>
                  <w14:solidFill>
                    <w14:schemeClr w14:val="tx1"/>
                  </w14:solidFill>
                </w14:textFill>
              </w:rPr>
              <w:t>□</w:t>
            </w:r>
            <w:r>
              <w:rPr>
                <w:rFonts w:hint="default" w:ascii="Times New Roman" w:hAnsi="Times New Roman" w:cs="Times New Roman"/>
                <w:snapToGrid w:val="0"/>
                <w:color w:val="000000" w:themeColor="text1"/>
                <w:kern w:val="0"/>
                <w:szCs w:val="21"/>
                <w14:textFill>
                  <w14:solidFill>
                    <w14:schemeClr w14:val="tx1"/>
                  </w14:solidFill>
                </w14:textFill>
              </w:rPr>
              <w:t>修订</w:t>
            </w:r>
          </w:p>
          <w:p w14:paraId="793D9569">
            <w:pP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（被修订标准名称及编号：          ）</w:t>
            </w:r>
          </w:p>
        </w:tc>
        <w:tc>
          <w:tcPr>
            <w:tcW w:w="1260" w:type="dxa"/>
            <w:tcBorders>
              <w:left w:val="single" w:color="auto" w:sz="4" w:space="0"/>
              <w:bottom w:val="single" w:color="auto" w:sz="4" w:space="0"/>
              <w:right w:val="single" w:color="auto" w:sz="4" w:space="0"/>
            </w:tcBorders>
            <w:vAlign w:val="center"/>
          </w:tcPr>
          <w:p w14:paraId="4A99CDC3">
            <w:pPr>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计划编号</w:t>
            </w:r>
          </w:p>
        </w:tc>
        <w:tc>
          <w:tcPr>
            <w:tcW w:w="2156" w:type="dxa"/>
            <w:tcBorders>
              <w:left w:val="single" w:color="auto" w:sz="4" w:space="0"/>
              <w:bottom w:val="single" w:color="auto" w:sz="4" w:space="0"/>
            </w:tcBorders>
            <w:vAlign w:val="center"/>
          </w:tcPr>
          <w:p w14:paraId="09778BFB">
            <w:pP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2024TB037</w:t>
            </w:r>
          </w:p>
        </w:tc>
      </w:tr>
      <w:tr w14:paraId="2B63B7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29" w:type="dxa"/>
            <w:vAlign w:val="center"/>
          </w:tcPr>
          <w:p w14:paraId="5CBC560D">
            <w:pPr>
              <w:ind w:right="176" w:rightChars="84"/>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起止时间</w:t>
            </w:r>
          </w:p>
        </w:tc>
        <w:tc>
          <w:tcPr>
            <w:tcW w:w="7655" w:type="dxa"/>
            <w:gridSpan w:val="5"/>
            <w:vAlign w:val="center"/>
          </w:tcPr>
          <w:p w14:paraId="403E26CF">
            <w:pPr>
              <w:jc w:val="both"/>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2024年12月-</w:t>
            </w:r>
            <w:r>
              <w:rPr>
                <w:rFonts w:hint="default" w:ascii="Times New Roman" w:hAnsi="Times New Roman" w:cs="Times New Roman"/>
                <w:color w:val="000000" w:themeColor="text1"/>
                <w:szCs w:val="21"/>
                <w:lang w:val="en-US" w:eastAsia="zh-CN"/>
                <w14:textFill>
                  <w14:solidFill>
                    <w14:schemeClr w14:val="tx1"/>
                  </w14:solidFill>
                </w14:textFill>
              </w:rPr>
              <w:t>2025年10月</w:t>
            </w:r>
          </w:p>
        </w:tc>
      </w:tr>
      <w:tr w14:paraId="661808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29" w:type="dxa"/>
            <w:vAlign w:val="center"/>
          </w:tcPr>
          <w:p w14:paraId="2B7918B8">
            <w:pPr>
              <w:ind w:right="176" w:rightChars="84"/>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标准起草</w:t>
            </w:r>
            <w:r>
              <w:rPr>
                <w:rFonts w:asciiTheme="minorEastAsia" w:hAnsiTheme="minorEastAsia"/>
                <w:color w:val="000000" w:themeColor="text1"/>
                <w:szCs w:val="21"/>
                <w14:textFill>
                  <w14:solidFill>
                    <w14:schemeClr w14:val="tx1"/>
                  </w14:solidFill>
                </w14:textFill>
              </w:rPr>
              <w:t>单位</w:t>
            </w:r>
          </w:p>
        </w:tc>
        <w:tc>
          <w:tcPr>
            <w:tcW w:w="7655" w:type="dxa"/>
            <w:gridSpan w:val="5"/>
            <w:vAlign w:val="center"/>
          </w:tcPr>
          <w:p w14:paraId="5FB60CDB">
            <w:pPr>
              <w:pStyle w:val="20"/>
              <w:ind w:firstLine="0" w:firstLineChars="0"/>
              <w:rPr>
                <w:rFonts w:hint="default" w:eastAsia="宋体" w:asciiTheme="minorEastAsia" w:hAnsiTheme="minorEastAsia"/>
                <w:color w:val="000000" w:themeColor="text1"/>
                <w:szCs w:val="21"/>
                <w:lang w:val="en-US" w:eastAsia="zh-CN"/>
                <w14:textFill>
                  <w14:solidFill>
                    <w14:schemeClr w14:val="tx1"/>
                  </w14:solidFill>
                </w14:textFill>
              </w:rPr>
            </w:pPr>
            <w:r>
              <w:rPr>
                <w:rFonts w:hint="eastAsia" w:asciiTheme="minorEastAsia" w:hAnsiTheme="minorEastAsia"/>
                <w:color w:val="000000" w:themeColor="text1"/>
                <w:szCs w:val="21"/>
                <w:lang w:val="en-US" w:eastAsia="zh-CN"/>
                <w14:textFill>
                  <w14:solidFill>
                    <w14:schemeClr w14:val="tx1"/>
                  </w14:solidFill>
                </w14:textFill>
              </w:rPr>
              <w:t>冶金工业规划研究院、</w:t>
            </w:r>
            <w:r>
              <w:rPr>
                <w:rFonts w:hint="eastAsia" w:hAnsi="宋体" w:cs="宋体"/>
                <w:highlight w:val="none"/>
                <w:lang w:val="en-US" w:eastAsia="zh-CN"/>
              </w:rPr>
              <w:t>中环联合(北京)认证中心有限公司、北京国金衡信认证有限公司、方圆标志认证集团、中国国检测试控股集团股份有限公司、众信标（北京）认证有限公司、中国船级社质量认证有限公司、中国认证认可协会</w:t>
            </w:r>
            <w:r>
              <w:rPr>
                <w:rFonts w:hint="eastAsia" w:asciiTheme="minorEastAsia" w:hAnsiTheme="minorEastAsia"/>
                <w:color w:val="000000" w:themeColor="text1"/>
                <w:szCs w:val="21"/>
                <w:lang w:val="en-US" w:eastAsia="zh-CN"/>
                <w14:textFill>
                  <w14:solidFill>
                    <w14:schemeClr w14:val="tx1"/>
                  </w14:solidFill>
                </w14:textFill>
              </w:rPr>
              <w:t>等。</w:t>
            </w:r>
          </w:p>
        </w:tc>
      </w:tr>
      <w:tr w14:paraId="265F23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29" w:type="dxa"/>
            <w:vAlign w:val="center"/>
          </w:tcPr>
          <w:p w14:paraId="4306040C">
            <w:pPr>
              <w:ind w:right="176" w:rightChars="84"/>
              <w:rPr>
                <w:rFonts w:hint="eastAsia"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起草</w:t>
            </w:r>
            <w:r>
              <w:rPr>
                <w:rFonts w:hint="eastAsia" w:asciiTheme="minorEastAsia" w:hAnsiTheme="minorEastAsia"/>
                <w:color w:val="000000" w:themeColor="text1"/>
                <w:szCs w:val="21"/>
                <w14:textFill>
                  <w14:solidFill>
                    <w14:schemeClr w14:val="tx1"/>
                  </w14:solidFill>
                </w14:textFill>
              </w:rPr>
              <w:t>组成员</w:t>
            </w:r>
          </w:p>
        </w:tc>
        <w:tc>
          <w:tcPr>
            <w:tcW w:w="7655" w:type="dxa"/>
            <w:gridSpan w:val="5"/>
            <w:vAlign w:val="center"/>
          </w:tcPr>
          <w:p w14:paraId="58D60A8A">
            <w:pPr>
              <w:rPr>
                <w:rFonts w:hint="default"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color w:val="000000" w:themeColor="text1"/>
                <w:szCs w:val="21"/>
                <w:lang w:val="en-US" w:eastAsia="zh-CN"/>
                <w14:textFill>
                  <w14:solidFill>
                    <w14:schemeClr w14:val="tx1"/>
                  </w14:solidFill>
                </w14:textFill>
              </w:rPr>
              <w:t>肖邦国、霍咚梅、冯帆等。</w:t>
            </w:r>
          </w:p>
        </w:tc>
      </w:tr>
      <w:tr w14:paraId="0A3A63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14:paraId="2AD752C5">
            <w:pPr>
              <w:ind w:right="176" w:rightChars="84"/>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w:t>
            </w:r>
            <w:r>
              <w:rPr>
                <w:rFonts w:asciiTheme="minorEastAsia" w:hAnsiTheme="minorEastAsia"/>
                <w:color w:val="000000" w:themeColor="text1"/>
                <w:szCs w:val="21"/>
                <w14:textFill>
                  <w14:solidFill>
                    <w14:schemeClr w14:val="tx1"/>
                  </w14:solidFill>
                </w14:textFill>
              </w:rPr>
              <w:t>调整情况</w:t>
            </w:r>
          </w:p>
        </w:tc>
        <w:tc>
          <w:tcPr>
            <w:tcW w:w="7655" w:type="dxa"/>
            <w:gridSpan w:val="5"/>
            <w:tcBorders>
              <w:top w:val="single" w:color="auto" w:sz="4" w:space="0"/>
              <w:left w:val="single" w:color="auto" w:sz="4" w:space="0"/>
              <w:bottom w:val="single" w:color="auto" w:sz="4" w:space="0"/>
              <w:right w:val="single" w:color="auto" w:sz="4" w:space="0"/>
            </w:tcBorders>
            <w:vAlign w:val="center"/>
          </w:tcPr>
          <w:p w14:paraId="218F1C38">
            <w:pPr>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color w:val="000000" w:themeColor="text1"/>
                <w:szCs w:val="21"/>
                <w:lang w:val="en-US" w:eastAsia="zh-CN"/>
                <w14:textFill>
                  <w14:solidFill>
                    <w14:schemeClr w14:val="tx1"/>
                  </w14:solidFill>
                </w14:textFill>
              </w:rPr>
              <w:t>无</w:t>
            </w:r>
          </w:p>
        </w:tc>
      </w:tr>
      <w:tr w14:paraId="129326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9384" w:type="dxa"/>
            <w:gridSpan w:val="6"/>
            <w:tcBorders>
              <w:top w:val="single" w:color="auto" w:sz="4" w:space="0"/>
              <w:left w:val="single" w:color="auto" w:sz="4" w:space="0"/>
              <w:bottom w:val="single" w:color="auto" w:sz="4" w:space="0"/>
              <w:right w:val="single" w:color="auto" w:sz="4" w:space="0"/>
            </w:tcBorders>
            <w:vAlign w:val="center"/>
          </w:tcPr>
          <w:p w14:paraId="7CFD0AC5">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背景、目的和意义</w:t>
            </w:r>
          </w:p>
        </w:tc>
      </w:tr>
      <w:tr w14:paraId="093678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94" w:type="dxa"/>
            <w:gridSpan w:val="2"/>
            <w:tcBorders>
              <w:top w:val="single" w:color="auto" w:sz="4" w:space="0"/>
              <w:left w:val="single" w:color="auto" w:sz="4" w:space="0"/>
              <w:bottom w:val="single" w:color="auto" w:sz="4" w:space="0"/>
              <w:right w:val="single" w:color="auto" w:sz="4" w:space="0"/>
            </w:tcBorders>
            <w:vAlign w:val="center"/>
          </w:tcPr>
          <w:p w14:paraId="3249E3A9">
            <w:pPr>
              <w:ind w:right="176" w:rightChars="84"/>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背景</w:t>
            </w:r>
          </w:p>
        </w:tc>
        <w:tc>
          <w:tcPr>
            <w:tcW w:w="7590" w:type="dxa"/>
            <w:gridSpan w:val="4"/>
            <w:tcBorders>
              <w:top w:val="single" w:color="auto" w:sz="4" w:space="0"/>
              <w:left w:val="single" w:color="auto" w:sz="4" w:space="0"/>
              <w:bottom w:val="single" w:color="auto" w:sz="4" w:space="0"/>
              <w:right w:val="single" w:color="auto" w:sz="4" w:space="0"/>
            </w:tcBorders>
            <w:vAlign w:val="center"/>
          </w:tcPr>
          <w:p w14:paraId="5BF06DCE">
            <w:pPr>
              <w:pStyle w:val="20"/>
              <w:ind w:firstLine="420" w:firstLineChars="200"/>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全球气候问题日益严峻，人类活动引起的气候变化已成为各国政府、社会所面临的重大问题之一。在第75届联合国大会上，习总书记指出“中国将提高国家自主贡献力度，采取更加有力的政策和措施，二氧化碳排放力争于2030年前达到峰值，努力争取2060年前实现碳中和”。钢铁是世界各国均关注的重点碳排放行业，钢铁行业碳排放量占全球能源系统排放量的8%左右，根据相关统计记录显示，我国重点统计钢铁企业吨钢二氧化碳排放为2吨左右，每年排放近17亿吨，占全国碳排放总量的15%左右，碳减排潜力巨大。</w:t>
            </w:r>
          </w:p>
          <w:p w14:paraId="2BAE3A6C">
            <w:pPr>
              <w:pStyle w:val="20"/>
              <w:ind w:firstLine="420" w:firstLineChars="200"/>
              <w:rPr>
                <w:rFonts w:hint="eastAsia" w:ascii="Times New Roman"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国内外对钢铁行业碳排放水平关注度越来越高。在国外，欧盟发布碳边境调节机制（CBAM）明确将钢铁产品作为下一步重点管控的产品，对其加收碳关税；美国《通胀削减法案》明确要求绿色钢铁碳排放强度≤1.4tCO</w:t>
            </w:r>
            <w:r>
              <w:rPr>
                <w:rFonts w:hint="default" w:ascii="Times New Roman" w:hAnsi="Times New Roman" w:eastAsia="宋体" w:cs="Times New Roman"/>
                <w:color w:val="000000" w:themeColor="text1"/>
                <w:szCs w:val="21"/>
                <w:highlight w:val="none"/>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/t。</w:t>
            </w:r>
            <w:r>
              <w:rPr>
                <w:rFonts w:hint="eastAsia" w:ascii="Times New Roman" w:cs="Times New Roman"/>
                <w:color w:val="000000" w:themeColor="text1"/>
                <w:szCs w:val="21"/>
                <w:highlight w:val="none"/>
                <w:lang w:val="en-US" w:eastAsia="zh-CN"/>
                <w14:textFill>
                  <w14:solidFill>
                    <w14:schemeClr w14:val="tx1"/>
                  </w14:solidFill>
                </w14:textFill>
              </w:rPr>
              <w:t>在国内，</w:t>
            </w:r>
            <w:r>
              <w:rPr>
                <w:rFonts w:hint="eastAsia" w:ascii="Times New Roman" w:cs="Times New Roman"/>
                <w:color w:val="000000" w:themeColor="text1"/>
                <w:szCs w:val="21"/>
                <w:lang w:val="en-US" w:eastAsia="zh-CN"/>
                <w14:textFill>
                  <w14:solidFill>
                    <w14:schemeClr w14:val="tx1"/>
                  </w14:solidFill>
                </w14:textFill>
              </w:rPr>
              <w:t>2025年生态环境部发布《全国碳排放权交易市场覆盖钢铁、水泥、铝冶炼行业工作方案》，明确钢铁行业纳入碳交易市场。配套出台《企业温室气体排放核算与报告指南 钢铁行业（CETS—AG—03.01—V01—2024）》《企业温室气体排放核查技术指南 钢铁行业（CETS—VG—03.01—V01—2024）》。此外，下游建材、汽车、家电等行业逐步提出供应链减排战略，要求钢铁产品碳排放满足要求，对钢材产品碳足迹、低碳产品等认证评定工作。</w:t>
            </w:r>
          </w:p>
          <w:p w14:paraId="39FFE710">
            <w:pPr>
              <w:pStyle w:val="20"/>
              <w:ind w:firstLine="420" w:firstLineChars="200"/>
              <w:rPr>
                <w:rFonts w:hint="default" w:ascii="Times New Roman" w:cs="Times New Roman"/>
                <w:color w:val="000000" w:themeColor="text1"/>
                <w:szCs w:val="21"/>
                <w:lang w:val="en-US" w:eastAsia="zh-CN"/>
                <w14:textFill>
                  <w14:solidFill>
                    <w14:schemeClr w14:val="tx1"/>
                  </w14:solidFill>
                </w14:textFill>
              </w:rPr>
            </w:pPr>
            <w:r>
              <w:rPr>
                <w:rFonts w:hint="eastAsia" w:ascii="Times New Roman" w:cs="Times New Roman"/>
                <w:color w:val="000000" w:themeColor="text1"/>
                <w:szCs w:val="21"/>
                <w:lang w:val="en-US" w:eastAsia="zh-CN"/>
                <w14:textFill>
                  <w14:solidFill>
                    <w14:schemeClr w14:val="tx1"/>
                  </w14:solidFill>
                </w14:textFill>
              </w:rPr>
              <w:t>面对如此众多的碳需求，钢铁行业亟需构建系统的碳管理体系，梳理碳相关工作，应对不同维度的碳需求。</w:t>
            </w:r>
          </w:p>
        </w:tc>
      </w:tr>
      <w:tr w14:paraId="67F6B8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94" w:type="dxa"/>
            <w:gridSpan w:val="2"/>
            <w:tcBorders>
              <w:top w:val="single" w:color="auto" w:sz="4" w:space="0"/>
              <w:left w:val="single" w:color="auto" w:sz="4" w:space="0"/>
              <w:bottom w:val="single" w:color="auto" w:sz="4" w:space="0"/>
              <w:right w:val="single" w:color="auto" w:sz="4" w:space="0"/>
            </w:tcBorders>
            <w:vAlign w:val="center"/>
          </w:tcPr>
          <w:p w14:paraId="09AEC879">
            <w:pPr>
              <w:ind w:right="176" w:rightChars="84"/>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目的</w:t>
            </w:r>
          </w:p>
        </w:tc>
        <w:tc>
          <w:tcPr>
            <w:tcW w:w="7590" w:type="dxa"/>
            <w:gridSpan w:val="4"/>
            <w:tcBorders>
              <w:top w:val="single" w:color="auto" w:sz="4" w:space="0"/>
              <w:left w:val="single" w:color="auto" w:sz="4" w:space="0"/>
              <w:bottom w:val="single" w:color="auto" w:sz="4" w:space="0"/>
              <w:right w:val="single" w:color="auto" w:sz="4" w:space="0"/>
            </w:tcBorders>
            <w:vAlign w:val="center"/>
          </w:tcPr>
          <w:p w14:paraId="114D926A">
            <w:pPr>
              <w:ind w:firstLine="420" w:firstLineChars="200"/>
              <w:rPr>
                <w:rFonts w:hint="eastAsia" w:asciiTheme="minorEastAsia" w:hAnsiTheme="minorEastAsia"/>
                <w:color w:val="000000" w:themeColor="text1"/>
                <w:szCs w:val="21"/>
                <w14:textFill>
                  <w14:solidFill>
                    <w14:schemeClr w14:val="tx1"/>
                  </w14:solidFill>
                </w14:textFill>
              </w:rPr>
            </w:pPr>
            <w:r>
              <w:rPr>
                <w:rFonts w:hint="eastAsia" w:ascii="Times New Roman" w:cs="Times New Roman"/>
                <w:color w:val="000000" w:themeColor="text1"/>
                <w:szCs w:val="21"/>
                <w:lang w:val="en-US" w:eastAsia="zh-CN"/>
                <w14:textFill>
                  <w14:solidFill>
                    <w14:schemeClr w14:val="tx1"/>
                  </w14:solidFill>
                </w14:textFill>
              </w:rPr>
              <w:t>目前，部分钢铁企业已充分认识到碳排放管理的重要意义，但是钢铁企业在开展碳排放管理体系时缺少指导依据，导致不同企业碳排放管理水平参差不齐。先进企业吨钢CO</w:t>
            </w:r>
            <w:r>
              <w:rPr>
                <w:rFonts w:hint="eastAsia" w:ascii="Times New Roman" w:cs="Times New Roman"/>
                <w:color w:val="000000" w:themeColor="text1"/>
                <w:szCs w:val="21"/>
                <w:vertAlign w:val="subscript"/>
                <w:lang w:val="en-US" w:eastAsia="zh-CN"/>
                <w14:textFill>
                  <w14:solidFill>
                    <w14:schemeClr w14:val="tx1"/>
                  </w14:solidFill>
                </w14:textFill>
              </w:rPr>
              <w:t>2</w:t>
            </w:r>
            <w:r>
              <w:rPr>
                <w:rFonts w:hint="eastAsia" w:ascii="Times New Roman" w:cs="Times New Roman"/>
                <w:color w:val="000000" w:themeColor="text1"/>
                <w:szCs w:val="21"/>
                <w:lang w:val="en-US" w:eastAsia="zh-CN"/>
                <w14:textFill>
                  <w14:solidFill>
                    <w14:schemeClr w14:val="tx1"/>
                  </w14:solidFill>
                </w14:textFill>
              </w:rPr>
              <w:t>排放量能够达到1.7-1.8吨，而落后企业吨钢CO</w:t>
            </w:r>
            <w:r>
              <w:rPr>
                <w:rFonts w:hint="eastAsia" w:ascii="Times New Roman" w:cs="Times New Roman"/>
                <w:color w:val="000000" w:themeColor="text1"/>
                <w:szCs w:val="21"/>
                <w:vertAlign w:val="subscript"/>
                <w:lang w:val="en-US" w:eastAsia="zh-CN"/>
                <w14:textFill>
                  <w14:solidFill>
                    <w14:schemeClr w14:val="tx1"/>
                  </w14:solidFill>
                </w14:textFill>
              </w:rPr>
              <w:t>2</w:t>
            </w:r>
            <w:r>
              <w:rPr>
                <w:rFonts w:hint="eastAsia" w:ascii="Times New Roman" w:cs="Times New Roman"/>
                <w:color w:val="000000" w:themeColor="text1"/>
                <w:szCs w:val="21"/>
                <w:lang w:val="en-US" w:eastAsia="zh-CN"/>
                <w14:textFill>
                  <w14:solidFill>
                    <w14:schemeClr w14:val="tx1"/>
                  </w14:solidFill>
                </w14:textFill>
              </w:rPr>
              <w:t>排放量达到2.2-2.3吨。因此，有必要开展《碳管理体系 钢铁企业要求》标准的制定，通过运用现代管理思想，借鉴成熟管理模式，将过程分析方法、系统工程原理和策划、实施、检查、改进循环管理理念引入企业碳排放管理中，建立碳排放全过程的管理体系。并结合内外部环境对钢铁企业的要求，细化更具针对性的条款要求，以帮助钢铁企业在适合自身的碳管理体系，更有条理的推进碳工作。</w:t>
            </w:r>
          </w:p>
        </w:tc>
      </w:tr>
      <w:tr w14:paraId="7B5AEE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94" w:type="dxa"/>
            <w:gridSpan w:val="2"/>
            <w:tcBorders>
              <w:top w:val="single" w:color="auto" w:sz="4" w:space="0"/>
              <w:left w:val="single" w:color="auto" w:sz="4" w:space="0"/>
              <w:bottom w:val="single" w:color="auto" w:sz="4" w:space="0"/>
              <w:right w:val="single" w:color="auto" w:sz="4" w:space="0"/>
            </w:tcBorders>
            <w:vAlign w:val="center"/>
          </w:tcPr>
          <w:p w14:paraId="7F1BCD69">
            <w:pPr>
              <w:ind w:right="176" w:rightChars="84"/>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意义</w:t>
            </w:r>
          </w:p>
        </w:tc>
        <w:tc>
          <w:tcPr>
            <w:tcW w:w="7590" w:type="dxa"/>
            <w:gridSpan w:val="4"/>
            <w:tcBorders>
              <w:top w:val="single" w:color="auto" w:sz="4" w:space="0"/>
              <w:left w:val="single" w:color="auto" w:sz="4" w:space="0"/>
              <w:bottom w:val="single" w:color="auto" w:sz="4" w:space="0"/>
              <w:right w:val="single" w:color="auto" w:sz="4" w:space="0"/>
            </w:tcBorders>
            <w:vAlign w:val="center"/>
          </w:tcPr>
          <w:p w14:paraId="68A41F8A">
            <w:pPr>
              <w:ind w:firstLine="420" w:firstLineChars="200"/>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本</w:t>
            </w:r>
            <w:r>
              <w:rPr>
                <w:rFonts w:hint="eastAsia" w:asciiTheme="minorEastAsia" w:hAnsiTheme="minorEastAsia"/>
                <w:color w:val="000000" w:themeColor="text1"/>
                <w:szCs w:val="21"/>
                <w:lang w:val="en-US" w:eastAsia="zh-CN"/>
                <w14:textFill>
                  <w14:solidFill>
                    <w14:schemeClr w14:val="tx1"/>
                  </w14:solidFill>
                </w14:textFill>
              </w:rPr>
              <w:t>文件</w:t>
            </w:r>
            <w:r>
              <w:rPr>
                <w:rFonts w:hint="eastAsia" w:asciiTheme="minorEastAsia" w:hAnsiTheme="minorEastAsia"/>
                <w:color w:val="000000" w:themeColor="text1"/>
                <w:szCs w:val="21"/>
                <w14:textFill>
                  <w14:solidFill>
                    <w14:schemeClr w14:val="tx1"/>
                  </w14:solidFill>
                </w14:textFill>
              </w:rPr>
              <w:t>的制定将有效指导钢铁企业结合过程分析方法、系统工程原理和策划、实施、检查、改进循环等管理理念，建立覆盖全过程的、高水平的碳管理体系。通过碳管理体系的建立，规范钢铁企业碳管理，并有针对性的做出减排措施，对促进企业构建节能减碳长效机制具有十分重要的意义。</w:t>
            </w:r>
          </w:p>
        </w:tc>
      </w:tr>
      <w:tr w14:paraId="0FABA3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89" w:hRule="exact"/>
          <w:jc w:val="center"/>
        </w:trPr>
        <w:tc>
          <w:tcPr>
            <w:tcW w:w="9384" w:type="dxa"/>
            <w:gridSpan w:val="6"/>
            <w:tcBorders>
              <w:top w:val="single" w:color="auto" w:sz="4" w:space="0"/>
              <w:left w:val="single" w:color="auto" w:sz="4" w:space="0"/>
              <w:bottom w:val="single" w:color="auto" w:sz="4" w:space="0"/>
              <w:right w:val="single" w:color="auto" w:sz="4" w:space="0"/>
            </w:tcBorders>
            <w:vAlign w:val="center"/>
          </w:tcPr>
          <w:p w14:paraId="6A81C691">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工作简况</w:t>
            </w:r>
          </w:p>
        </w:tc>
      </w:tr>
      <w:tr w14:paraId="1073C1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94" w:type="dxa"/>
            <w:gridSpan w:val="2"/>
            <w:tcBorders>
              <w:top w:val="single" w:color="auto" w:sz="4" w:space="0"/>
              <w:left w:val="single" w:color="auto" w:sz="4" w:space="0"/>
              <w:bottom w:val="single" w:color="auto" w:sz="4" w:space="0"/>
              <w:right w:val="single" w:color="auto" w:sz="4" w:space="0"/>
            </w:tcBorders>
            <w:vAlign w:val="center"/>
          </w:tcPr>
          <w:p w14:paraId="46AB9AB9">
            <w:pPr>
              <w:ind w:right="176" w:rightChars="84"/>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标准主要起草人任务分工</w:t>
            </w:r>
          </w:p>
        </w:tc>
        <w:tc>
          <w:tcPr>
            <w:tcW w:w="7590" w:type="dxa"/>
            <w:gridSpan w:val="4"/>
            <w:tcBorders>
              <w:top w:val="single" w:color="auto" w:sz="4" w:space="0"/>
              <w:left w:val="single" w:color="auto" w:sz="4" w:space="0"/>
              <w:bottom w:val="single" w:color="auto" w:sz="4" w:space="0"/>
              <w:right w:val="single" w:color="auto" w:sz="4" w:space="0"/>
            </w:tcBorders>
            <w:vAlign w:val="center"/>
          </w:tcPr>
          <w:p w14:paraId="37C6AB79">
            <w:pPr>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冶金工业规划研究院</w:t>
            </w:r>
            <w:r>
              <w:rPr>
                <w:rFonts w:hint="eastAsia" w:ascii="Times New Roman" w:hAnsi="Times New Roman" w:cs="Times New Roman"/>
                <w:color w:val="000000" w:themeColor="text1"/>
                <w:szCs w:val="21"/>
                <w:lang w:val="en-US"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牵头负责确定标准框架结构和分工，负责进行标准编制进度统筹协调，组织召开标准研讨和交流会议。</w:t>
            </w:r>
          </w:p>
          <w:p w14:paraId="405B7A68">
            <w:pPr>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中环联合(北京)认证中心有限公司、北京国金衡信认证有限公司、方圆标志认证集团、中国国检测试控股集团股份有限公司、众信标（北京）认证有限公司、中国船级社质量认证有限公司、中国认证认可协会等单位协助配合标准编制工作，参与相应标准研讨会议，并对标准提出修改建议。</w:t>
            </w:r>
          </w:p>
        </w:tc>
      </w:tr>
      <w:tr w14:paraId="3E8224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94" w:type="dxa"/>
            <w:gridSpan w:val="2"/>
            <w:tcBorders>
              <w:top w:val="single" w:color="auto" w:sz="4" w:space="0"/>
              <w:left w:val="single" w:color="auto" w:sz="4" w:space="0"/>
              <w:bottom w:val="single" w:color="auto" w:sz="4" w:space="0"/>
              <w:right w:val="single" w:color="auto" w:sz="4" w:space="0"/>
            </w:tcBorders>
            <w:vAlign w:val="center"/>
          </w:tcPr>
          <w:p w14:paraId="43CF22D2">
            <w:pPr>
              <w:ind w:right="176" w:rightChars="84"/>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主要工作过程</w:t>
            </w:r>
          </w:p>
        </w:tc>
        <w:tc>
          <w:tcPr>
            <w:tcW w:w="7590" w:type="dxa"/>
            <w:gridSpan w:val="4"/>
            <w:tcBorders>
              <w:top w:val="single" w:color="auto" w:sz="4" w:space="0"/>
              <w:left w:val="single" w:color="auto" w:sz="4" w:space="0"/>
              <w:bottom w:val="single" w:color="auto" w:sz="4" w:space="0"/>
              <w:right w:val="single" w:color="auto" w:sz="4" w:space="0"/>
            </w:tcBorders>
            <w:vAlign w:val="center"/>
          </w:tcPr>
          <w:p w14:paraId="76D3DEDC">
            <w:pPr>
              <w:rPr>
                <w:rFonts w:hint="default"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2024年6-8月，提交标准申报材料。</w:t>
            </w:r>
          </w:p>
          <w:p w14:paraId="4106D765">
            <w:pPr>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2024年8月，根据中国认证认可协会关于《碳管理体系 发电企业要求》等17项团体标准立项及征求参编单位的通知（中认协技〔202</w:t>
            </w:r>
            <w:r>
              <w:rPr>
                <w:rFonts w:hint="eastAsia" w:ascii="Times New Roman" w:hAnsi="Times New Roman" w:cs="Times New Roman"/>
                <w:color w:val="000000" w:themeColor="text1"/>
                <w:szCs w:val="21"/>
                <w:lang w:val="en-US" w:eastAsia="zh-CN"/>
                <w14:textFill>
                  <w14:solidFill>
                    <w14:schemeClr w14:val="tx1"/>
                  </w14:solidFill>
                </w14:textFill>
              </w:rPr>
              <w:t>4</w:t>
            </w:r>
            <w:r>
              <w:rPr>
                <w:rFonts w:hint="default" w:ascii="Times New Roman" w:hAnsi="Times New Roman" w:cs="Times New Roman"/>
                <w:color w:val="000000" w:themeColor="text1"/>
                <w:szCs w:val="21"/>
                <w:lang w:val="en-US" w:eastAsia="zh-CN"/>
                <w14:textFill>
                  <w14:solidFill>
                    <w14:schemeClr w14:val="tx1"/>
                  </w14:solidFill>
                </w14:textFill>
              </w:rPr>
              <w:t>〕57号），《碳管理体系 钢铁企业要求》正式立项。</w:t>
            </w:r>
          </w:p>
          <w:p w14:paraId="17DAF62D">
            <w:pPr>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2024年</w:t>
            </w:r>
            <w:r>
              <w:rPr>
                <w:rFonts w:hint="eastAsia" w:ascii="Times New Roman" w:hAnsi="Times New Roman" w:cs="Times New Roman"/>
                <w:color w:val="000000" w:themeColor="text1"/>
                <w:szCs w:val="21"/>
                <w:lang w:val="en-US" w:eastAsia="zh-CN"/>
                <w14:textFill>
                  <w14:solidFill>
                    <w14:schemeClr w14:val="tx1"/>
                  </w14:solidFill>
                </w14:textFill>
              </w:rPr>
              <w:t>8-</w:t>
            </w:r>
            <w:r>
              <w:rPr>
                <w:rFonts w:hint="default" w:ascii="Times New Roman" w:hAnsi="Times New Roman" w:cs="Times New Roman"/>
                <w:color w:val="000000" w:themeColor="text1"/>
                <w:szCs w:val="21"/>
                <w:lang w:val="en-US" w:eastAsia="zh-CN"/>
                <w14:textFill>
                  <w14:solidFill>
                    <w14:schemeClr w14:val="tx1"/>
                  </w14:solidFill>
                </w14:textFill>
              </w:rPr>
              <w:t>12月，根据中国认证认可协会关于成立《碳管理体系 发电企业要求》等16想团体标准起草组的通知（中认协技〔202</w:t>
            </w:r>
            <w:r>
              <w:rPr>
                <w:rFonts w:hint="eastAsia" w:ascii="Times New Roman" w:hAnsi="Times New Roman" w:cs="Times New Roman"/>
                <w:color w:val="000000" w:themeColor="text1"/>
                <w:szCs w:val="21"/>
                <w:lang w:val="en-US" w:eastAsia="zh-CN"/>
                <w14:textFill>
                  <w14:solidFill>
                    <w14:schemeClr w14:val="tx1"/>
                  </w14:solidFill>
                </w14:textFill>
              </w:rPr>
              <w:t>4</w:t>
            </w:r>
            <w:r>
              <w:rPr>
                <w:rFonts w:hint="default" w:ascii="Times New Roman" w:hAnsi="Times New Roman" w:cs="Times New Roman"/>
                <w:color w:val="000000" w:themeColor="text1"/>
                <w:szCs w:val="21"/>
                <w:lang w:val="en-US" w:eastAsia="zh-CN"/>
                <w14:textFill>
                  <w14:solidFill>
                    <w14:schemeClr w14:val="tx1"/>
                  </w14:solidFill>
                </w14:textFill>
              </w:rPr>
              <w:t>〕93号），冶金工业规划研究院作为标准主要承担单位，开展该项标准的编制。</w:t>
            </w:r>
          </w:p>
          <w:p w14:paraId="10B7E8F2">
            <w:pPr>
              <w:rPr>
                <w:rFonts w:hint="default"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2025年1-6月，收集文献，编制《</w:t>
            </w:r>
            <w:r>
              <w:rPr>
                <w:rFonts w:hint="default" w:ascii="Times New Roman" w:hAnsi="Times New Roman" w:cs="Times New Roman"/>
                <w:color w:val="000000" w:themeColor="text1"/>
                <w:szCs w:val="21"/>
                <w:lang w:val="en-US" w:eastAsia="zh-CN"/>
                <w14:textFill>
                  <w14:solidFill>
                    <w14:schemeClr w14:val="tx1"/>
                  </w14:solidFill>
                </w14:textFill>
              </w:rPr>
              <w:t>碳管理体系 钢铁企业要求</w:t>
            </w:r>
            <w:r>
              <w:rPr>
                <w:rFonts w:hint="eastAsia" w:ascii="Times New Roman" w:hAnsi="Times New Roman" w:cs="Times New Roman"/>
                <w:color w:val="000000" w:themeColor="text1"/>
                <w:szCs w:val="21"/>
                <w:lang w:val="en-US" w:eastAsia="zh-CN"/>
                <w14:textFill>
                  <w14:solidFill>
                    <w14:schemeClr w14:val="tx1"/>
                  </w14:solidFill>
                </w14:textFill>
              </w:rPr>
              <w:t>》（草案），并组织召开标准讨论会，逐步完善草案。</w:t>
            </w:r>
          </w:p>
        </w:tc>
      </w:tr>
      <w:tr w14:paraId="6A7FA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9384" w:type="dxa"/>
            <w:gridSpan w:val="6"/>
            <w:tcBorders>
              <w:top w:val="single" w:color="auto" w:sz="4" w:space="0"/>
              <w:left w:val="single" w:color="auto" w:sz="4" w:space="0"/>
              <w:bottom w:val="single" w:color="auto" w:sz="4" w:space="0"/>
              <w:right w:val="single" w:color="auto" w:sz="4" w:space="0"/>
            </w:tcBorders>
            <w:vAlign w:val="center"/>
          </w:tcPr>
          <w:p w14:paraId="21CA5731">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标准编制原则和确定标准主要内容的论据</w:t>
            </w:r>
          </w:p>
        </w:tc>
      </w:tr>
      <w:tr w14:paraId="47959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94" w:type="dxa"/>
            <w:gridSpan w:val="2"/>
            <w:tcBorders>
              <w:top w:val="single" w:color="auto" w:sz="4" w:space="0"/>
              <w:left w:val="single" w:color="auto" w:sz="4" w:space="0"/>
              <w:bottom w:val="single" w:color="auto" w:sz="4" w:space="0"/>
              <w:right w:val="single" w:color="auto" w:sz="4" w:space="0"/>
            </w:tcBorders>
            <w:vAlign w:val="center"/>
          </w:tcPr>
          <w:p w14:paraId="3DF56526">
            <w:pPr>
              <w:ind w:right="176" w:rightChars="84"/>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标准编制原则</w:t>
            </w:r>
          </w:p>
        </w:tc>
        <w:tc>
          <w:tcPr>
            <w:tcW w:w="7590" w:type="dxa"/>
            <w:gridSpan w:val="4"/>
            <w:tcBorders>
              <w:top w:val="single" w:color="auto" w:sz="4" w:space="0"/>
              <w:left w:val="single" w:color="auto" w:sz="4" w:space="0"/>
              <w:bottom w:val="single" w:color="auto" w:sz="4" w:space="0"/>
              <w:right w:val="single" w:color="auto" w:sz="4" w:space="0"/>
            </w:tcBorders>
            <w:vAlign w:val="center"/>
          </w:tcPr>
          <w:p w14:paraId="7E62EC3E">
            <w:pPr>
              <w:pStyle w:val="22"/>
              <w:ind w:right="311" w:rightChars="148" w:firstLine="417" w:firstLineChars="199"/>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1.</w:t>
            </w:r>
            <w:r>
              <w:rPr>
                <w:rFonts w:hint="default" w:ascii="Times New Roman" w:hAnsi="Times New Roman" w:eastAsia="宋体" w:cs="Times New Roman"/>
                <w:color w:val="000000" w:themeColor="text1"/>
                <w14:textFill>
                  <w14:solidFill>
                    <w14:schemeClr w14:val="tx1"/>
                  </w14:solidFill>
                </w14:textFill>
              </w:rPr>
              <w:t>本</w:t>
            </w:r>
            <w:r>
              <w:rPr>
                <w:rFonts w:hint="default" w:ascii="Times New Roman" w:hAnsi="Times New Roman" w:eastAsia="宋体" w:cs="Times New Roman"/>
                <w:color w:val="000000" w:themeColor="text1"/>
                <w:lang w:val="en-US" w:eastAsia="zh-CN"/>
                <w14:textFill>
                  <w14:solidFill>
                    <w14:schemeClr w14:val="tx1"/>
                  </w14:solidFill>
                </w14:textFill>
              </w:rPr>
              <w:t>文件</w:t>
            </w:r>
            <w:r>
              <w:rPr>
                <w:rFonts w:hint="default" w:ascii="Times New Roman" w:hAnsi="Times New Roman" w:eastAsia="宋体" w:cs="Times New Roman"/>
                <w:color w:val="000000" w:themeColor="text1"/>
                <w14:textFill>
                  <w14:solidFill>
                    <w14:schemeClr w14:val="tx1"/>
                  </w14:solidFill>
                </w14:textFill>
              </w:rPr>
              <w:t>按照GB/T 1.1-2020《标准化工作导则 第1部分：标准化文件的结构和起草规则》的要求和规定起草。</w:t>
            </w:r>
          </w:p>
          <w:p w14:paraId="1E6CD321">
            <w:pPr>
              <w:pStyle w:val="22"/>
              <w:ind w:right="311" w:rightChars="148" w:firstLine="417" w:firstLineChars="199"/>
              <w:rPr>
                <w:rFonts w:hint="default"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2.</w:t>
            </w:r>
            <w:r>
              <w:rPr>
                <w:rFonts w:hint="default" w:ascii="Times New Roman" w:hAnsi="Times New Roman" w:eastAsia="宋体" w:cs="Times New Roman"/>
                <w:color w:val="000000" w:themeColor="text1"/>
                <w14:textFill>
                  <w14:solidFill>
                    <w14:schemeClr w14:val="tx1"/>
                  </w14:solidFill>
                </w14:textFill>
              </w:rPr>
              <w:t>本</w:t>
            </w:r>
            <w:r>
              <w:rPr>
                <w:rFonts w:hint="eastAsia" w:ascii="Times New Roman" w:hAnsi="Times New Roman" w:eastAsia="宋体" w:cs="Times New Roman"/>
                <w:color w:val="000000" w:themeColor="text1"/>
                <w:lang w:val="en-US" w:eastAsia="zh-CN"/>
                <w14:textFill>
                  <w14:solidFill>
                    <w14:schemeClr w14:val="tx1"/>
                  </w14:solidFill>
                </w14:textFill>
              </w:rPr>
              <w:t>文件</w:t>
            </w:r>
            <w:r>
              <w:rPr>
                <w:rFonts w:hint="default" w:ascii="Times New Roman" w:hAnsi="Times New Roman" w:eastAsia="宋体" w:cs="Times New Roman"/>
                <w:color w:val="000000" w:themeColor="text1"/>
                <w14:textFill>
                  <w14:solidFill>
                    <w14:schemeClr w14:val="tx1"/>
                  </w14:solidFill>
                </w14:textFill>
              </w:rPr>
              <w:t>以国内、外标准为参考的前提下编制。参考了国内、外现行的《</w:t>
            </w:r>
            <w:r>
              <w:rPr>
                <w:rFonts w:hint="eastAsia" w:ascii="Times New Roman" w:hAnsi="Times New Roman" w:eastAsia="宋体" w:cs="Times New Roman"/>
                <w:color w:val="000000" w:themeColor="text1"/>
                <w:lang w:val="en-US" w:eastAsia="zh-CN"/>
                <w14:textFill>
                  <w14:solidFill>
                    <w14:schemeClr w14:val="tx1"/>
                  </w14:solidFill>
                </w14:textFill>
              </w:rPr>
              <w:t>碳管理体系 要求</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CCAA 39-2022）</w:t>
            </w:r>
            <w:r>
              <w:rPr>
                <w:rFonts w:hint="default" w:ascii="Times New Roman" w:hAnsi="Times New Roman" w:eastAsia="宋体" w:cs="Times New Roman"/>
                <w:color w:val="000000" w:themeColor="text1"/>
                <w14:textFill>
                  <w14:solidFill>
                    <w14:schemeClr w14:val="tx1"/>
                  </w14:solidFill>
                </w14:textFill>
              </w:rPr>
              <w:t>等标准。</w:t>
            </w:r>
          </w:p>
          <w:p w14:paraId="66FF6AA0">
            <w:pPr>
              <w:pStyle w:val="22"/>
              <w:ind w:right="311" w:rightChars="148" w:firstLine="417" w:firstLineChars="199"/>
              <w:rPr>
                <w:rFonts w:hint="default"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本文件主要指标选定综合考虑了《</w:t>
            </w:r>
            <w:r>
              <w:rPr>
                <w:rFonts w:hint="eastAsia" w:ascii="Times New Roman" w:hAnsi="Times New Roman" w:eastAsia="宋体" w:cs="Times New Roman"/>
                <w:color w:val="000000" w:themeColor="text1"/>
                <w:lang w:val="en-US" w:eastAsia="zh-CN"/>
                <w14:textFill>
                  <w14:solidFill>
                    <w14:schemeClr w14:val="tx1"/>
                  </w14:solidFill>
                </w14:textFill>
              </w:rPr>
              <w:t>碳管理体系 要求</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CCAA 39-2022）</w:t>
            </w:r>
            <w:r>
              <w:rPr>
                <w:rFonts w:hint="eastAsia" w:ascii="Times New Roman" w:hAnsi="Times New Roman" w:eastAsia="宋体" w:cs="Times New Roman"/>
                <w:color w:val="000000" w:themeColor="text1"/>
                <w:lang w:val="en-US" w:eastAsia="zh-CN"/>
                <w14:textFill>
                  <w14:solidFill>
                    <w14:schemeClr w14:val="tx1"/>
                  </w14:solidFill>
                </w14:textFill>
              </w:rPr>
              <w:t>条款及国内外对钢铁</w:t>
            </w:r>
            <w:r>
              <w:rPr>
                <w:rFonts w:hint="default" w:ascii="Times New Roman" w:hAnsi="Times New Roman" w:eastAsia="宋体" w:cs="Times New Roman"/>
                <w:color w:val="000000" w:themeColor="text1"/>
                <w14:textFill>
                  <w14:solidFill>
                    <w14:schemeClr w14:val="tx1"/>
                  </w14:solidFill>
                </w14:textFill>
              </w:rPr>
              <w:t>企业</w:t>
            </w:r>
            <w:r>
              <w:rPr>
                <w:rFonts w:hint="eastAsia" w:ascii="Times New Roman" w:hAnsi="Times New Roman" w:eastAsia="宋体" w:cs="Times New Roman"/>
                <w:color w:val="000000" w:themeColor="text1"/>
                <w:lang w:val="en-US" w:eastAsia="zh-CN"/>
                <w14:textFill>
                  <w14:solidFill>
                    <w14:schemeClr w14:val="tx1"/>
                  </w14:solidFill>
                </w14:textFill>
              </w:rPr>
              <w:t>要求</w:t>
            </w:r>
            <w:r>
              <w:rPr>
                <w:rFonts w:hint="default" w:ascii="Times New Roman" w:hAnsi="Times New Roman" w:eastAsia="宋体" w:cs="Times New Roman"/>
                <w:color w:val="000000" w:themeColor="text1"/>
                <w14:textFill>
                  <w14:solidFill>
                    <w14:schemeClr w14:val="tx1"/>
                  </w14:solidFill>
                </w14:textFill>
              </w:rPr>
              <w:t>，注重标准制定与</w:t>
            </w:r>
            <w:r>
              <w:rPr>
                <w:rFonts w:hint="eastAsia" w:ascii="Times New Roman" w:hAnsi="Times New Roman" w:eastAsia="宋体" w:cs="Times New Roman"/>
                <w:color w:val="000000" w:themeColor="text1"/>
                <w:lang w:val="en-US" w:eastAsia="zh-CN"/>
                <w14:textFill>
                  <w14:solidFill>
                    <w14:schemeClr w14:val="tx1"/>
                  </w14:solidFill>
                </w14:textFill>
              </w:rPr>
              <w:t>钢铁行业发展、国内外环境、</w:t>
            </w:r>
            <w:r>
              <w:rPr>
                <w:rFonts w:hint="default" w:ascii="Times New Roman" w:hAnsi="Times New Roman" w:eastAsia="宋体" w:cs="Times New Roman"/>
                <w:color w:val="000000" w:themeColor="text1"/>
                <w14:textFill>
                  <w14:solidFill>
                    <w14:schemeClr w14:val="tx1"/>
                  </w14:solidFill>
                </w14:textFill>
              </w:rPr>
              <w:t>应用推广相结合，体现了标准的科学性、先进性、合理性和可操作性。</w:t>
            </w:r>
          </w:p>
          <w:p w14:paraId="2D6CF23B">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4.</w:t>
            </w:r>
            <w:r>
              <w:rPr>
                <w:rFonts w:hint="default" w:ascii="Times New Roman" w:hAnsi="Times New Roman" w:eastAsia="宋体" w:cs="Times New Roman"/>
                <w:color w:val="000000" w:themeColor="text1"/>
                <w14:textFill>
                  <w14:solidFill>
                    <w14:schemeClr w14:val="tx1"/>
                  </w14:solidFill>
                </w14:textFill>
              </w:rPr>
              <w:t>本文件在制定过程中，遵循</w:t>
            </w:r>
            <w:r>
              <w:rPr>
                <w:rFonts w:hint="eastAsia" w:ascii="Times New Roman" w:hAnsi="Times New Roman" w:eastAsia="宋体" w:cs="Times New Roman"/>
                <w:color w:val="000000" w:themeColor="text1"/>
                <w:lang w:eastAsia="zh-CN"/>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面向市场、服务产业、自主制定、适时推出</w:t>
            </w:r>
            <w:r>
              <w:rPr>
                <w:rFonts w:hint="eastAsia" w:ascii="Times New Roman" w:hAnsi="Times New Roman" w:eastAsia="宋体" w:cs="Times New Roman"/>
                <w:color w:val="000000" w:themeColor="text1"/>
                <w:lang w:eastAsia="zh-CN"/>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的原则，以及统一、协调、适用性和规范性的原则。</w:t>
            </w:r>
          </w:p>
        </w:tc>
      </w:tr>
      <w:tr w14:paraId="4CD363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94" w:type="dxa"/>
            <w:gridSpan w:val="2"/>
            <w:tcBorders>
              <w:top w:val="single" w:color="auto" w:sz="4" w:space="0"/>
              <w:left w:val="single" w:color="auto" w:sz="4" w:space="0"/>
              <w:bottom w:val="single" w:color="auto" w:sz="4" w:space="0"/>
              <w:right w:val="single" w:color="auto" w:sz="4" w:space="0"/>
            </w:tcBorders>
            <w:vAlign w:val="center"/>
          </w:tcPr>
          <w:p w14:paraId="5050598D">
            <w:pPr>
              <w:ind w:right="176" w:rightChars="84"/>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确定标准主要内容的论据</w:t>
            </w:r>
          </w:p>
        </w:tc>
        <w:tc>
          <w:tcPr>
            <w:tcW w:w="7590" w:type="dxa"/>
            <w:gridSpan w:val="4"/>
            <w:tcBorders>
              <w:top w:val="single" w:color="auto" w:sz="4" w:space="0"/>
              <w:left w:val="single" w:color="auto" w:sz="4" w:space="0"/>
              <w:bottom w:val="single" w:color="auto" w:sz="4" w:space="0"/>
              <w:right w:val="single" w:color="auto" w:sz="4" w:space="0"/>
            </w:tcBorders>
            <w:vAlign w:val="center"/>
          </w:tcPr>
          <w:p w14:paraId="6381760A">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本文件规定了钢铁企业建立、实施、保持和改进碳管理体系的要求。</w:t>
            </w:r>
          </w:p>
          <w:p w14:paraId="5295831A">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本文件适用于钢铁联合企业，独立轧钢企业可参照使用。</w:t>
            </w:r>
          </w:p>
          <w:p w14:paraId="635F0BEA">
            <w:pPr>
              <w:pStyle w:val="22"/>
              <w:ind w:right="311" w:rightChars="148" w:firstLine="417" w:firstLineChars="199"/>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包括以下技术内容：</w:t>
            </w:r>
          </w:p>
          <w:p w14:paraId="7C67A682">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 范围</w:t>
            </w:r>
          </w:p>
          <w:p w14:paraId="34670024">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 规范性引用文件</w:t>
            </w:r>
            <w:r>
              <w:rPr>
                <w:rFonts w:hint="eastAsia" w:ascii="Times New Roman" w:hAnsi="Times New Roman" w:eastAsia="宋体" w:cs="Times New Roman"/>
                <w:color w:val="000000" w:themeColor="text1"/>
                <w14:textFill>
                  <w14:solidFill>
                    <w14:schemeClr w14:val="tx1"/>
                  </w14:solidFill>
                </w14:textFill>
              </w:rPr>
              <w:tab/>
            </w:r>
          </w:p>
          <w:p w14:paraId="3C072237">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 术语和定义</w:t>
            </w:r>
          </w:p>
          <w:p w14:paraId="4BB49E54">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 组织所处的环境</w:t>
            </w:r>
            <w:r>
              <w:rPr>
                <w:rFonts w:hint="eastAsia" w:ascii="Times New Roman" w:hAnsi="Times New Roman" w:eastAsia="宋体" w:cs="Times New Roman"/>
                <w:color w:val="000000" w:themeColor="text1"/>
                <w14:textFill>
                  <w14:solidFill>
                    <w14:schemeClr w14:val="tx1"/>
                  </w14:solidFill>
                </w14:textFill>
              </w:rPr>
              <w:tab/>
            </w:r>
          </w:p>
          <w:p w14:paraId="67A8ABBA">
            <w:pPr>
              <w:pStyle w:val="22"/>
              <w:ind w:right="311" w:rightChars="148" w:firstLine="417" w:firstLineChars="199"/>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本部分在</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碳管理体系 要求</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CCAA 39-2022）</w:t>
            </w:r>
            <w:r>
              <w:rPr>
                <w:rFonts w:hint="eastAsia" w:ascii="Times New Roman" w:hAnsi="Times New Roman" w:cs="Times New Roman"/>
                <w:color w:val="000000" w:themeColor="text1"/>
                <w:lang w:val="en-US" w:eastAsia="zh-CN"/>
                <w14:textFill>
                  <w14:solidFill>
                    <w14:schemeClr w14:val="tx1"/>
                  </w14:solidFill>
                </w14:textFill>
              </w:rPr>
              <w:t>基础上，进一步提出钢铁行业面临的CBAM、《全国碳排放权交易市场覆盖钢铁、水泥、铝冶炼行业工作方案》等相关要求，并明确钢铁行业生产企业碳管理体系范围和边界。</w:t>
            </w:r>
          </w:p>
          <w:p w14:paraId="4EF6E7ED">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5 领导作用</w:t>
            </w:r>
          </w:p>
          <w:p w14:paraId="11FAE4F8">
            <w:pPr>
              <w:pStyle w:val="22"/>
              <w:ind w:right="311" w:rightChars="148" w:firstLine="417" w:firstLineChars="199"/>
              <w:rPr>
                <w:rFonts w:hint="default" w:ascii="Times New Roman" w:hAnsi="Times New Roman" w:eastAsia="宋体"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本部分在</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碳管理体系 要求</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CCAA 39-2022）</w:t>
            </w:r>
            <w:r>
              <w:rPr>
                <w:rFonts w:hint="eastAsia" w:ascii="Times New Roman" w:hAnsi="Times New Roman" w:cs="Times New Roman"/>
                <w:color w:val="000000" w:themeColor="text1"/>
                <w:lang w:val="en-US" w:eastAsia="zh-CN"/>
                <w14:textFill>
                  <w14:solidFill>
                    <w14:schemeClr w14:val="tx1"/>
                  </w14:solidFill>
                </w14:textFill>
              </w:rPr>
              <w:t>基础上进一步细化，如碳方针应考虑钢铁行业碳排放核算、碳减排、碳交易履约、产品碳足迹、产品低碳化等要求。</w:t>
            </w:r>
          </w:p>
          <w:p w14:paraId="60649C9E">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6 策划</w:t>
            </w:r>
          </w:p>
          <w:p w14:paraId="3ED46217">
            <w:pPr>
              <w:pStyle w:val="22"/>
              <w:ind w:right="311" w:rightChars="148" w:firstLine="417" w:firstLineChars="199"/>
              <w:rPr>
                <w:rFonts w:hint="default" w:ascii="Times New Roman" w:hAnsi="Times New Roman" w:eastAsia="宋体"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本部分在</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碳管理体系 要求</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CCAA 39-2022）</w:t>
            </w:r>
            <w:r>
              <w:rPr>
                <w:rFonts w:hint="eastAsia" w:ascii="Times New Roman" w:hAnsi="Times New Roman" w:cs="Times New Roman"/>
                <w:color w:val="000000" w:themeColor="text1"/>
                <w:lang w:val="en-US" w:eastAsia="zh-CN"/>
                <w14:textFill>
                  <w14:solidFill>
                    <w14:schemeClr w14:val="tx1"/>
                  </w14:solidFill>
                </w14:textFill>
              </w:rPr>
              <w:t>基础上进一步细化，明确可参照GB/T 32150、GB/T 32151.5、GB/T 24067等标准进行碳排放数据计算。</w:t>
            </w:r>
          </w:p>
          <w:p w14:paraId="1E45658C">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7 支持</w:t>
            </w:r>
          </w:p>
          <w:p w14:paraId="5D97C337">
            <w:pPr>
              <w:pStyle w:val="22"/>
              <w:ind w:right="311" w:rightChars="148" w:firstLine="417" w:firstLineChars="199"/>
              <w:rPr>
                <w:rFonts w:hint="default" w:ascii="Times New Roman" w:hAnsi="Times New Roman" w:eastAsia="宋体"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本部分在</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碳管理体系 要求</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CCAA 39-2022）</w:t>
            </w:r>
            <w:r>
              <w:rPr>
                <w:rFonts w:hint="eastAsia" w:ascii="Times New Roman" w:hAnsi="Times New Roman" w:cs="Times New Roman"/>
                <w:color w:val="000000" w:themeColor="text1"/>
                <w:lang w:val="en-US" w:eastAsia="zh-CN"/>
                <w14:textFill>
                  <w14:solidFill>
                    <w14:schemeClr w14:val="tx1"/>
                  </w14:solidFill>
                </w14:textFill>
              </w:rPr>
              <w:t>基础上进一步细化，明确在资源、能力、意识、信息交流、文件化信息等方面，钢铁企业的要求。</w:t>
            </w:r>
          </w:p>
          <w:p w14:paraId="38A9043B">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8 运行</w:t>
            </w:r>
          </w:p>
          <w:p w14:paraId="45010A02">
            <w:pPr>
              <w:pStyle w:val="22"/>
              <w:ind w:right="311" w:rightChars="148" w:firstLine="417" w:firstLineChars="199"/>
              <w:rPr>
                <w:rFonts w:hint="default" w:ascii="Times New Roman" w:hAnsi="Times New Roman" w:eastAsia="宋体"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本部分在</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碳管理体系 要求</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CCAA 39-2022）</w:t>
            </w:r>
            <w:r>
              <w:rPr>
                <w:rFonts w:hint="eastAsia" w:ascii="Times New Roman" w:hAnsi="Times New Roman" w:cs="Times New Roman"/>
                <w:color w:val="000000" w:themeColor="text1"/>
                <w:lang w:val="en-US" w:eastAsia="zh-CN"/>
                <w14:textFill>
                  <w14:solidFill>
                    <w14:schemeClr w14:val="tx1"/>
                  </w14:solidFill>
                </w14:textFill>
              </w:rPr>
              <w:t>基础上进一步细化，明确钢铁企业的涉及控制、采购控制、生产过程控制、产品使用与回收控制、运行控制等方面的要求。</w:t>
            </w:r>
          </w:p>
          <w:p w14:paraId="76ECCE8A">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9 绩效评价</w:t>
            </w:r>
          </w:p>
          <w:p w14:paraId="2F8271D1">
            <w:pPr>
              <w:pStyle w:val="22"/>
              <w:ind w:right="311" w:rightChars="148" w:firstLine="417" w:firstLineChars="199"/>
              <w:rPr>
                <w:rFonts w:hint="default" w:ascii="Times New Roman" w:hAnsi="Times New Roman" w:eastAsia="宋体"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本部分在</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碳管理体系 要求</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CCAA 39-2022）</w:t>
            </w:r>
            <w:r>
              <w:rPr>
                <w:rFonts w:hint="eastAsia" w:ascii="Times New Roman" w:hAnsi="Times New Roman" w:cs="Times New Roman"/>
                <w:color w:val="000000" w:themeColor="text1"/>
                <w:lang w:val="en-US" w:eastAsia="zh-CN"/>
                <w14:textFill>
                  <w14:solidFill>
                    <w14:schemeClr w14:val="tx1"/>
                  </w14:solidFill>
                </w14:textFill>
              </w:rPr>
              <w:t>基础上进一步细化，明确钢铁企业内审和管理评审等方面的要求。</w:t>
            </w:r>
          </w:p>
          <w:p w14:paraId="346DAEFC">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10 改进</w:t>
            </w:r>
          </w:p>
          <w:p w14:paraId="010152E7">
            <w:pPr>
              <w:pStyle w:val="22"/>
              <w:ind w:right="311" w:rightChars="148" w:firstLine="417" w:firstLineChars="199"/>
              <w:rPr>
                <w:rFonts w:hint="default" w:ascii="Times New Roman" w:hAnsi="Times New Roman" w:eastAsia="宋体" w:cs="Times New Roman"/>
                <w:color w:val="000000" w:themeColor="text1"/>
                <w:lang w:val="en-US"/>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本部分与</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碳管理体系 要求</w:t>
            </w:r>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eastAsia="zh-CN"/>
                <w14:textFill>
                  <w14:solidFill>
                    <w14:schemeClr w14:val="tx1"/>
                  </w14:solidFill>
                </w14:textFill>
              </w:rPr>
              <w:t>CCAA 39-2022）</w:t>
            </w:r>
            <w:r>
              <w:rPr>
                <w:rFonts w:hint="eastAsia" w:ascii="Times New Roman" w:hAnsi="Times New Roman" w:cs="Times New Roman"/>
                <w:color w:val="000000" w:themeColor="text1"/>
                <w:lang w:val="en-US" w:eastAsia="zh-CN"/>
                <w14:textFill>
                  <w14:solidFill>
                    <w14:schemeClr w14:val="tx1"/>
                  </w14:solidFill>
                </w14:textFill>
              </w:rPr>
              <w:t>保持一致。</w:t>
            </w:r>
          </w:p>
          <w:p w14:paraId="2D03184C">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附 录 A（资料性）碳绩效参数及碳基准示例</w:t>
            </w:r>
          </w:p>
          <w:p w14:paraId="6ECE2AF3">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附 录 B（资料性）钢铁企业碳排放数据收集示例</w:t>
            </w:r>
          </w:p>
          <w:p w14:paraId="617810FB">
            <w:pPr>
              <w:pStyle w:val="22"/>
              <w:ind w:right="311" w:rightChars="148" w:firstLine="417" w:firstLineChars="199"/>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参考文献</w:t>
            </w:r>
          </w:p>
        </w:tc>
      </w:tr>
      <w:tr w14:paraId="133D56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9384" w:type="dxa"/>
            <w:gridSpan w:val="6"/>
            <w:tcBorders>
              <w:top w:val="single" w:color="auto" w:sz="4" w:space="0"/>
              <w:left w:val="single" w:color="auto" w:sz="4" w:space="0"/>
              <w:bottom w:val="single" w:color="auto" w:sz="4" w:space="0"/>
              <w:right w:val="single" w:color="auto" w:sz="4" w:space="0"/>
            </w:tcBorders>
            <w:vAlign w:val="center"/>
          </w:tcPr>
          <w:p w14:paraId="649069F2">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与现行法律法规、强制性标准和其他有关标准的关系</w:t>
            </w:r>
          </w:p>
        </w:tc>
      </w:tr>
      <w:tr w14:paraId="3B10C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94" w:type="dxa"/>
            <w:gridSpan w:val="2"/>
            <w:tcBorders>
              <w:top w:val="single" w:color="auto" w:sz="4" w:space="0"/>
              <w:left w:val="single" w:color="auto" w:sz="4" w:space="0"/>
              <w:bottom w:val="single" w:color="auto" w:sz="4" w:space="0"/>
              <w:right w:val="single" w:color="auto" w:sz="4" w:space="0"/>
            </w:tcBorders>
            <w:vAlign w:val="center"/>
          </w:tcPr>
          <w:p w14:paraId="3327D5E7">
            <w:pPr>
              <w:ind w:right="176" w:rightChars="84"/>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法律法规和强制性标准的关系</w:t>
            </w:r>
          </w:p>
        </w:tc>
        <w:tc>
          <w:tcPr>
            <w:tcW w:w="7590" w:type="dxa"/>
            <w:gridSpan w:val="4"/>
            <w:tcBorders>
              <w:top w:val="single" w:color="auto" w:sz="4" w:space="0"/>
              <w:left w:val="single" w:color="auto" w:sz="4" w:space="0"/>
              <w:bottom w:val="single" w:color="auto" w:sz="4" w:space="0"/>
              <w:right w:val="single" w:color="auto" w:sz="4" w:space="0"/>
            </w:tcBorders>
            <w:vAlign w:val="center"/>
          </w:tcPr>
          <w:p w14:paraId="76D71EA8">
            <w:pPr>
              <w:pStyle w:val="13"/>
              <w:ind w:left="0" w:leftChars="0" w:firstLine="0" w:firstLineChars="0"/>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团体标准《碳管理体系 钢铁企业要求》编制以《碳管理体系 要求》（T/CCAA 39-2022）为基础，遵循国际合格评定通用规则，依据我国合格评定相关法律、法规和标准，结合我国</w:t>
            </w:r>
            <w:r>
              <w:rPr>
                <w:rFonts w:hint="eastAsia" w:asciiTheme="minorEastAsia" w:hAnsiTheme="minorEastAsia"/>
                <w:color w:val="000000" w:themeColor="text1"/>
                <w:szCs w:val="21"/>
                <w:lang w:val="en-US" w:eastAsia="zh-CN"/>
                <w14:textFill>
                  <w14:solidFill>
                    <w14:schemeClr w14:val="tx1"/>
                  </w14:solidFill>
                </w14:textFill>
              </w:rPr>
              <w:t>钢铁企业</w:t>
            </w:r>
            <w:r>
              <w:rPr>
                <w:rFonts w:hint="eastAsia" w:asciiTheme="minorEastAsia" w:hAnsiTheme="minorEastAsia" w:eastAsiaTheme="minorEastAsia"/>
                <w:color w:val="000000" w:themeColor="text1"/>
                <w:szCs w:val="21"/>
                <w:lang w:val="en-US" w:eastAsia="zh-CN"/>
                <w14:textFill>
                  <w14:solidFill>
                    <w14:schemeClr w14:val="tx1"/>
                  </w14:solidFill>
                </w14:textFill>
              </w:rPr>
              <w:t>审定活动实践进行展开和细化，旨在为</w:t>
            </w:r>
            <w:r>
              <w:rPr>
                <w:rFonts w:hint="eastAsia" w:asciiTheme="minorEastAsia" w:hAnsiTheme="minorEastAsia"/>
                <w:color w:val="000000" w:themeColor="text1"/>
                <w:szCs w:val="21"/>
                <w:lang w:val="en-US" w:eastAsia="zh-CN"/>
                <w14:textFill>
                  <w14:solidFill>
                    <w14:schemeClr w14:val="tx1"/>
                  </w14:solidFill>
                </w14:textFill>
              </w:rPr>
              <w:t>钢铁企业碳管理体系制定实施</w:t>
            </w:r>
            <w:r>
              <w:rPr>
                <w:rFonts w:hint="eastAsia" w:asciiTheme="minorEastAsia" w:hAnsiTheme="minorEastAsia" w:eastAsiaTheme="minorEastAsia"/>
                <w:color w:val="000000" w:themeColor="text1"/>
                <w:szCs w:val="21"/>
                <w:lang w:val="en-US" w:eastAsia="zh-CN"/>
                <w14:textFill>
                  <w14:solidFill>
                    <w14:schemeClr w14:val="tx1"/>
                  </w14:solidFill>
                </w14:textFill>
              </w:rPr>
              <w:t>提供指南。</w:t>
            </w:r>
          </w:p>
          <w:p w14:paraId="711B3017">
            <w:pPr>
              <w:pStyle w:val="13"/>
              <w:ind w:left="0" w:leftChars="0" w:firstLine="0" w:firstLineChars="0"/>
              <w:rPr>
                <w:rFonts w:hint="default"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标准研制过程中，经起草组研讨、立项专家评审，确认标准内容与现行法律法规、强制性国家标准相协调一致。符合《中华人民共和国标准化法》《团体标准管理规定》(国标委联(2019)1号)等法律法规，符合《中共中央 国务院关于完整准确全面贯彻新发展理念做好碳达峰碳中和工作的意见》要求，</w:t>
            </w:r>
            <w:r>
              <w:rPr>
                <w:rFonts w:hint="eastAsia" w:asciiTheme="minorEastAsia" w:hAnsiTheme="minorEastAsia"/>
                <w:color w:val="000000" w:themeColor="text1"/>
                <w:szCs w:val="21"/>
                <w:lang w:val="en-US" w:eastAsia="zh-CN"/>
                <w14:textFill>
                  <w14:solidFill>
                    <w14:schemeClr w14:val="tx1"/>
                  </w14:solidFill>
                </w14:textFill>
              </w:rPr>
              <w:t>作为系列碳管理体系标准的一个分支。</w:t>
            </w:r>
          </w:p>
        </w:tc>
      </w:tr>
      <w:tr w14:paraId="4EF63A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1794" w:type="dxa"/>
            <w:gridSpan w:val="2"/>
            <w:tcBorders>
              <w:top w:val="single" w:color="auto" w:sz="4" w:space="0"/>
              <w:left w:val="single" w:color="auto" w:sz="4" w:space="0"/>
              <w:bottom w:val="single" w:color="auto" w:sz="4" w:space="0"/>
              <w:right w:val="single" w:color="auto" w:sz="4" w:space="0"/>
            </w:tcBorders>
            <w:vAlign w:val="center"/>
          </w:tcPr>
          <w:p w14:paraId="0DA8C98D">
            <w:pPr>
              <w:ind w:right="176" w:rightChars="84"/>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与其他有关标准的关系</w:t>
            </w:r>
          </w:p>
        </w:tc>
        <w:tc>
          <w:tcPr>
            <w:tcW w:w="7590" w:type="dxa"/>
            <w:gridSpan w:val="4"/>
            <w:tcBorders>
              <w:top w:val="single" w:color="auto" w:sz="4" w:space="0"/>
              <w:left w:val="single" w:color="auto" w:sz="4" w:space="0"/>
              <w:bottom w:val="single" w:color="auto" w:sz="4" w:space="0"/>
              <w:right w:val="single" w:color="auto" w:sz="4" w:space="0"/>
            </w:tcBorders>
            <w:vAlign w:val="center"/>
          </w:tcPr>
          <w:p w14:paraId="7C547415">
            <w:pPr>
              <w:pStyle w:val="13"/>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color w:val="000000" w:themeColor="text1"/>
                <w:szCs w:val="21"/>
                <w:lang w:val="en-US" w:eastAsia="zh-CN"/>
                <w14:textFill>
                  <w14:solidFill>
                    <w14:schemeClr w14:val="tx1"/>
                  </w14:solidFill>
                </w14:textFill>
              </w:rPr>
              <w:t>无</w:t>
            </w:r>
          </w:p>
        </w:tc>
      </w:tr>
      <w:tr w14:paraId="2BFB70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9384" w:type="dxa"/>
            <w:gridSpan w:val="6"/>
            <w:tcBorders>
              <w:top w:val="single" w:color="auto" w:sz="4" w:space="0"/>
              <w:left w:val="single" w:color="auto" w:sz="4" w:space="0"/>
              <w:bottom w:val="single" w:color="auto" w:sz="4" w:space="0"/>
              <w:right w:val="single" w:color="auto" w:sz="4" w:space="0"/>
            </w:tcBorders>
            <w:vAlign w:val="center"/>
          </w:tcPr>
          <w:p w14:paraId="572B1CC4">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重大分歧意见的处理经过和依据</w:t>
            </w:r>
          </w:p>
        </w:tc>
      </w:tr>
      <w:tr w14:paraId="7A1A4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9384" w:type="dxa"/>
            <w:gridSpan w:val="6"/>
            <w:tcBorders>
              <w:top w:val="single" w:color="auto" w:sz="4" w:space="0"/>
              <w:left w:val="single" w:color="auto" w:sz="4" w:space="0"/>
              <w:bottom w:val="single" w:color="auto" w:sz="4" w:space="0"/>
              <w:right w:val="single" w:color="auto" w:sz="4" w:space="0"/>
            </w:tcBorders>
            <w:vAlign w:val="center"/>
          </w:tcPr>
          <w:p w14:paraId="6817F4E1">
            <w:pPr>
              <w:rPr>
                <w:rFonts w:hint="default"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color w:val="000000" w:themeColor="text1"/>
                <w:szCs w:val="21"/>
                <w:lang w:val="en-US" w:eastAsia="zh-CN"/>
                <w14:textFill>
                  <w14:solidFill>
                    <w14:schemeClr w14:val="tx1"/>
                  </w14:solidFill>
                </w14:textFill>
              </w:rPr>
              <w:t>无</w:t>
            </w:r>
          </w:p>
        </w:tc>
      </w:tr>
      <w:tr w14:paraId="5339F1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9384" w:type="dxa"/>
            <w:gridSpan w:val="6"/>
            <w:tcBorders>
              <w:top w:val="single" w:color="auto" w:sz="4" w:space="0"/>
              <w:left w:val="single" w:color="auto" w:sz="4" w:space="0"/>
              <w:bottom w:val="single" w:color="auto" w:sz="4" w:space="0"/>
              <w:right w:val="single" w:color="auto" w:sz="4" w:space="0"/>
            </w:tcBorders>
            <w:vAlign w:val="center"/>
          </w:tcPr>
          <w:p w14:paraId="5DB3BBD6">
            <w:pPr>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贯彻该标准的要求和措施建议</w:t>
            </w:r>
          </w:p>
        </w:tc>
      </w:tr>
      <w:tr w14:paraId="79DD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3" w:hRule="atLeast"/>
          <w:jc w:val="center"/>
        </w:trPr>
        <w:tc>
          <w:tcPr>
            <w:tcW w:w="9384" w:type="dxa"/>
            <w:gridSpan w:val="6"/>
            <w:tcBorders>
              <w:top w:val="single" w:color="auto" w:sz="4" w:space="0"/>
              <w:left w:val="single" w:color="auto" w:sz="4" w:space="0"/>
              <w:bottom w:val="single" w:color="auto" w:sz="4" w:space="0"/>
              <w:right w:val="single" w:color="auto" w:sz="4" w:space="0"/>
            </w:tcBorders>
            <w:vAlign w:val="center"/>
          </w:tcPr>
          <w:p w14:paraId="70E770BE">
            <w:pPr>
              <w:ind w:right="288" w:rightChars="137" w:firstLine="420" w:firstLineChars="200"/>
              <w:rPr>
                <w:rFonts w:hint="default" w:asciiTheme="minorEastAsia" w:hAnsiTheme="minorEastAsia" w:eastAsiaTheme="minorEastAsia"/>
                <w:color w:val="000000" w:themeColor="text1"/>
                <w:szCs w:val="21"/>
                <w:lang w:val="en-US" w:eastAsia="zh-CN"/>
                <w14:textFill>
                  <w14:solidFill>
                    <w14:schemeClr w14:val="tx1"/>
                  </w14:solidFill>
                </w14:textFill>
              </w:rPr>
            </w:pPr>
            <w:r>
              <w:rPr>
                <w:rFonts w:hint="default" w:asciiTheme="minorEastAsia" w:hAnsiTheme="minorEastAsia" w:eastAsiaTheme="minorEastAsia"/>
                <w:color w:val="000000" w:themeColor="text1"/>
                <w:szCs w:val="21"/>
                <w:lang w:val="en-US" w:eastAsia="zh-CN"/>
                <w14:textFill>
                  <w14:solidFill>
                    <w14:schemeClr w14:val="tx1"/>
                  </w14:solidFill>
                </w14:textFill>
              </w:rPr>
              <w:t>本文件是</w:t>
            </w:r>
            <w:r>
              <w:rPr>
                <w:rFonts w:hint="eastAsia" w:asciiTheme="minorEastAsia" w:hAnsiTheme="minorEastAsia"/>
                <w:color w:val="000000" w:themeColor="text1"/>
                <w:szCs w:val="21"/>
                <w:lang w:val="en-US" w:eastAsia="zh-CN"/>
                <w14:textFill>
                  <w14:solidFill>
                    <w14:schemeClr w14:val="tx1"/>
                  </w14:solidFill>
                </w14:textFill>
              </w:rPr>
              <w:t>在</w:t>
            </w:r>
            <w:r>
              <w:rPr>
                <w:rFonts w:hint="eastAsia" w:asciiTheme="minorEastAsia" w:hAnsiTheme="minorEastAsia" w:eastAsiaTheme="minorEastAsia"/>
                <w:color w:val="000000" w:themeColor="text1"/>
                <w:szCs w:val="21"/>
                <w:lang w:val="en-US" w:eastAsia="zh-CN"/>
                <w14:textFill>
                  <w14:solidFill>
                    <w14:schemeClr w14:val="tx1"/>
                  </w14:solidFill>
                </w14:textFill>
              </w:rPr>
              <w:t>《碳管理体系 要求》（T/CCAA 39-2022）</w:t>
            </w:r>
            <w:r>
              <w:rPr>
                <w:rFonts w:hint="eastAsia" w:asciiTheme="minorEastAsia" w:hAnsiTheme="minorEastAsia"/>
                <w:color w:val="000000" w:themeColor="text1"/>
                <w:szCs w:val="21"/>
                <w:lang w:val="en-US" w:eastAsia="zh-CN"/>
                <w14:textFill>
                  <w14:solidFill>
                    <w14:schemeClr w14:val="tx1"/>
                  </w14:solidFill>
                </w14:textFill>
              </w:rPr>
              <w:t>框架下，进一步针对</w:t>
            </w:r>
            <w:r>
              <w:rPr>
                <w:rFonts w:hint="default" w:asciiTheme="minorEastAsia" w:hAnsiTheme="minorEastAsia" w:eastAsiaTheme="minorEastAsia"/>
                <w:color w:val="000000" w:themeColor="text1"/>
                <w:szCs w:val="21"/>
                <w:lang w:val="en-US" w:eastAsia="zh-CN"/>
                <w14:textFill>
                  <w14:solidFill>
                    <w14:schemeClr w14:val="tx1"/>
                  </w14:solidFill>
                </w14:textFill>
              </w:rPr>
              <w:t>钢铁企业</w:t>
            </w:r>
            <w:r>
              <w:rPr>
                <w:rFonts w:hint="eastAsia" w:asciiTheme="minorEastAsia" w:hAnsiTheme="minorEastAsia"/>
                <w:color w:val="000000" w:themeColor="text1"/>
                <w:szCs w:val="21"/>
                <w:lang w:val="en-US" w:eastAsia="zh-CN"/>
                <w14:textFill>
                  <w14:solidFill>
                    <w14:schemeClr w14:val="tx1"/>
                  </w14:solidFill>
                </w14:textFill>
              </w:rPr>
              <w:t>开展碳管理体系建设及认证工作的指导性文件</w:t>
            </w:r>
            <w:r>
              <w:rPr>
                <w:rFonts w:hint="default" w:asciiTheme="minorEastAsia" w:hAnsiTheme="minorEastAsia" w:eastAsiaTheme="minorEastAsia"/>
                <w:color w:val="000000" w:themeColor="text1"/>
                <w:szCs w:val="21"/>
                <w:lang w:val="en-US" w:eastAsia="zh-CN"/>
                <w14:textFill>
                  <w14:solidFill>
                    <w14:schemeClr w14:val="tx1"/>
                  </w14:solidFill>
                </w14:textFill>
              </w:rPr>
              <w:t>，符合《国家标准化发展纲要》《“十四五”工业绿色发展规划》《工业领域碳达峰实施方案》等政策文件提出的</w:t>
            </w:r>
            <w:r>
              <w:rPr>
                <w:rFonts w:hint="eastAsia" w:asciiTheme="minorEastAsia" w:hAnsiTheme="minorEastAsia"/>
                <w:color w:val="000000" w:themeColor="text1"/>
                <w:szCs w:val="21"/>
                <w:lang w:val="en-US" w:eastAsia="zh-CN"/>
                <w14:textFill>
                  <w14:solidFill>
                    <w14:schemeClr w14:val="tx1"/>
                  </w14:solidFill>
                </w14:textFill>
              </w:rPr>
              <w:t>要求</w:t>
            </w:r>
            <w:r>
              <w:rPr>
                <w:rFonts w:hint="default" w:asciiTheme="minorEastAsia" w:hAnsiTheme="minorEastAsia" w:eastAsiaTheme="minorEastAsia"/>
                <w:color w:val="000000" w:themeColor="text1"/>
                <w:szCs w:val="21"/>
                <w:lang w:val="en-US" w:eastAsia="zh-CN"/>
                <w14:textFill>
                  <w14:solidFill>
                    <w14:schemeClr w14:val="tx1"/>
                  </w14:solidFill>
                </w14:textFill>
              </w:rPr>
              <w:t>。建议标准发布后实施</w:t>
            </w:r>
            <w:r>
              <w:rPr>
                <w:rFonts w:hint="eastAsia" w:asciiTheme="minorEastAsia" w:hAnsiTheme="minorEastAsia"/>
                <w:color w:val="000000" w:themeColor="text1"/>
                <w:szCs w:val="21"/>
                <w:lang w:val="en-US" w:eastAsia="zh-CN"/>
                <w14:textFill>
                  <w14:solidFill>
                    <w14:schemeClr w14:val="tx1"/>
                  </w14:solidFill>
                </w14:textFill>
              </w:rPr>
              <w:t>，并在钢铁行业</w:t>
            </w:r>
            <w:bookmarkStart w:id="0" w:name="_GoBack"/>
            <w:bookmarkEnd w:id="0"/>
            <w:r>
              <w:rPr>
                <w:rFonts w:hint="eastAsia" w:asciiTheme="minorEastAsia" w:hAnsiTheme="minorEastAsia"/>
                <w:color w:val="000000" w:themeColor="text1"/>
                <w:szCs w:val="21"/>
                <w:lang w:val="en-US" w:eastAsia="zh-CN"/>
                <w14:textFill>
                  <w14:solidFill>
                    <w14:schemeClr w14:val="tx1"/>
                  </w14:solidFill>
                </w14:textFill>
              </w:rPr>
              <w:t>内宣贯</w:t>
            </w:r>
            <w:r>
              <w:rPr>
                <w:rFonts w:hint="default" w:asciiTheme="minorEastAsia" w:hAnsiTheme="minorEastAsia" w:eastAsiaTheme="minorEastAsia"/>
                <w:color w:val="000000" w:themeColor="text1"/>
                <w:szCs w:val="21"/>
                <w:lang w:val="en-US" w:eastAsia="zh-CN"/>
                <w14:textFill>
                  <w14:solidFill>
                    <w14:schemeClr w14:val="tx1"/>
                  </w14:solidFill>
                </w14:textFill>
              </w:rPr>
              <w:t>。</w:t>
            </w:r>
          </w:p>
        </w:tc>
      </w:tr>
    </w:tbl>
    <w:p w14:paraId="31E885D2">
      <w:pPr>
        <w:adjustRightInd w:val="0"/>
        <w:spacing w:line="360" w:lineRule="auto"/>
        <w:rPr>
          <w:rFonts w:hint="eastAsia" w:ascii="仿宋" w:hAnsi="仿宋" w:eastAsia="仿宋"/>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0YzA4Y2FlNGMwNjQ1ZjJiYTY5ZjZmZmNlNTZiNDgifQ=="/>
  </w:docVars>
  <w:rsids>
    <w:rsidRoot w:val="005364E8"/>
    <w:rsid w:val="00000DCD"/>
    <w:rsid w:val="00001057"/>
    <w:rsid w:val="00004192"/>
    <w:rsid w:val="00006C2D"/>
    <w:rsid w:val="0001048C"/>
    <w:rsid w:val="0001098A"/>
    <w:rsid w:val="0001235E"/>
    <w:rsid w:val="000139E3"/>
    <w:rsid w:val="00014EB1"/>
    <w:rsid w:val="000156A5"/>
    <w:rsid w:val="000172A3"/>
    <w:rsid w:val="00024DB7"/>
    <w:rsid w:val="00025AAD"/>
    <w:rsid w:val="0002784B"/>
    <w:rsid w:val="00035B7B"/>
    <w:rsid w:val="000372F7"/>
    <w:rsid w:val="0004002A"/>
    <w:rsid w:val="00042E68"/>
    <w:rsid w:val="00044AEA"/>
    <w:rsid w:val="00050279"/>
    <w:rsid w:val="000537FF"/>
    <w:rsid w:val="00053EFE"/>
    <w:rsid w:val="00054013"/>
    <w:rsid w:val="00060917"/>
    <w:rsid w:val="00060C49"/>
    <w:rsid w:val="00061D8C"/>
    <w:rsid w:val="000641B1"/>
    <w:rsid w:val="000645F2"/>
    <w:rsid w:val="00066C1C"/>
    <w:rsid w:val="00067A22"/>
    <w:rsid w:val="000718AF"/>
    <w:rsid w:val="00075E05"/>
    <w:rsid w:val="0007737A"/>
    <w:rsid w:val="0008113A"/>
    <w:rsid w:val="00081700"/>
    <w:rsid w:val="00090F03"/>
    <w:rsid w:val="0009468F"/>
    <w:rsid w:val="000A49E9"/>
    <w:rsid w:val="000A4D51"/>
    <w:rsid w:val="000A6EDE"/>
    <w:rsid w:val="000B4A42"/>
    <w:rsid w:val="000C1184"/>
    <w:rsid w:val="000C2A05"/>
    <w:rsid w:val="000C469B"/>
    <w:rsid w:val="000C4BEF"/>
    <w:rsid w:val="000C58D5"/>
    <w:rsid w:val="000C7497"/>
    <w:rsid w:val="000D10B7"/>
    <w:rsid w:val="000D67C5"/>
    <w:rsid w:val="000D792D"/>
    <w:rsid w:val="000E1745"/>
    <w:rsid w:val="000E4A6C"/>
    <w:rsid w:val="000F1626"/>
    <w:rsid w:val="000F1674"/>
    <w:rsid w:val="000F2696"/>
    <w:rsid w:val="000F4403"/>
    <w:rsid w:val="000F49BC"/>
    <w:rsid w:val="00102943"/>
    <w:rsid w:val="00102ED5"/>
    <w:rsid w:val="00103298"/>
    <w:rsid w:val="001042B0"/>
    <w:rsid w:val="00106F39"/>
    <w:rsid w:val="0010706D"/>
    <w:rsid w:val="001103F9"/>
    <w:rsid w:val="00112222"/>
    <w:rsid w:val="00112B90"/>
    <w:rsid w:val="001215F4"/>
    <w:rsid w:val="0012237B"/>
    <w:rsid w:val="0012411D"/>
    <w:rsid w:val="001261BE"/>
    <w:rsid w:val="001267F8"/>
    <w:rsid w:val="001276A9"/>
    <w:rsid w:val="00131171"/>
    <w:rsid w:val="001356FE"/>
    <w:rsid w:val="00140BC9"/>
    <w:rsid w:val="00140E0F"/>
    <w:rsid w:val="001448C1"/>
    <w:rsid w:val="00145701"/>
    <w:rsid w:val="0014617A"/>
    <w:rsid w:val="00146C35"/>
    <w:rsid w:val="0015044A"/>
    <w:rsid w:val="00152018"/>
    <w:rsid w:val="00154B5D"/>
    <w:rsid w:val="001612B5"/>
    <w:rsid w:val="00161480"/>
    <w:rsid w:val="001625B6"/>
    <w:rsid w:val="00163BBA"/>
    <w:rsid w:val="00166614"/>
    <w:rsid w:val="00167C1C"/>
    <w:rsid w:val="00170206"/>
    <w:rsid w:val="0017242D"/>
    <w:rsid w:val="0017258D"/>
    <w:rsid w:val="00173DB8"/>
    <w:rsid w:val="001750FC"/>
    <w:rsid w:val="001757A3"/>
    <w:rsid w:val="001772CC"/>
    <w:rsid w:val="001773D9"/>
    <w:rsid w:val="00177BE3"/>
    <w:rsid w:val="00181623"/>
    <w:rsid w:val="001820BE"/>
    <w:rsid w:val="0018226F"/>
    <w:rsid w:val="00183E9C"/>
    <w:rsid w:val="00184AE8"/>
    <w:rsid w:val="00185563"/>
    <w:rsid w:val="00193972"/>
    <w:rsid w:val="00197B88"/>
    <w:rsid w:val="001A1987"/>
    <w:rsid w:val="001A679E"/>
    <w:rsid w:val="001A6DF3"/>
    <w:rsid w:val="001B0268"/>
    <w:rsid w:val="001B4E4B"/>
    <w:rsid w:val="001B539E"/>
    <w:rsid w:val="001B70EE"/>
    <w:rsid w:val="001B7917"/>
    <w:rsid w:val="001C4254"/>
    <w:rsid w:val="001C4851"/>
    <w:rsid w:val="001C4993"/>
    <w:rsid w:val="001C4A3D"/>
    <w:rsid w:val="001C7752"/>
    <w:rsid w:val="001D252C"/>
    <w:rsid w:val="001D37F8"/>
    <w:rsid w:val="001D3B18"/>
    <w:rsid w:val="001D407C"/>
    <w:rsid w:val="001D5757"/>
    <w:rsid w:val="001E1C0C"/>
    <w:rsid w:val="001E2614"/>
    <w:rsid w:val="001E2E51"/>
    <w:rsid w:val="001E4402"/>
    <w:rsid w:val="001E5582"/>
    <w:rsid w:val="001F2A21"/>
    <w:rsid w:val="001F2DD0"/>
    <w:rsid w:val="001F3FD2"/>
    <w:rsid w:val="001F5015"/>
    <w:rsid w:val="001F5340"/>
    <w:rsid w:val="002001C9"/>
    <w:rsid w:val="002009AA"/>
    <w:rsid w:val="00205216"/>
    <w:rsid w:val="00205347"/>
    <w:rsid w:val="002065C0"/>
    <w:rsid w:val="00206F71"/>
    <w:rsid w:val="0021050A"/>
    <w:rsid w:val="00210D89"/>
    <w:rsid w:val="00210E81"/>
    <w:rsid w:val="00214C82"/>
    <w:rsid w:val="002164AD"/>
    <w:rsid w:val="00217D2C"/>
    <w:rsid w:val="00221D1A"/>
    <w:rsid w:val="002220E1"/>
    <w:rsid w:val="00222D6B"/>
    <w:rsid w:val="0022644F"/>
    <w:rsid w:val="00226D5D"/>
    <w:rsid w:val="00233CB6"/>
    <w:rsid w:val="00234445"/>
    <w:rsid w:val="00240B57"/>
    <w:rsid w:val="00243730"/>
    <w:rsid w:val="00244D80"/>
    <w:rsid w:val="00246849"/>
    <w:rsid w:val="00246B9E"/>
    <w:rsid w:val="00255E2A"/>
    <w:rsid w:val="0025686E"/>
    <w:rsid w:val="00261CDD"/>
    <w:rsid w:val="00263E2C"/>
    <w:rsid w:val="0026476F"/>
    <w:rsid w:val="00265B91"/>
    <w:rsid w:val="00265CE0"/>
    <w:rsid w:val="00265E42"/>
    <w:rsid w:val="00266F3F"/>
    <w:rsid w:val="00274947"/>
    <w:rsid w:val="002774EB"/>
    <w:rsid w:val="0028085D"/>
    <w:rsid w:val="00280907"/>
    <w:rsid w:val="00280BD6"/>
    <w:rsid w:val="00281F2D"/>
    <w:rsid w:val="00282021"/>
    <w:rsid w:val="00282827"/>
    <w:rsid w:val="00283948"/>
    <w:rsid w:val="002936D3"/>
    <w:rsid w:val="002936F7"/>
    <w:rsid w:val="002A08D5"/>
    <w:rsid w:val="002A09FB"/>
    <w:rsid w:val="002A1815"/>
    <w:rsid w:val="002A2BD3"/>
    <w:rsid w:val="002A3BFB"/>
    <w:rsid w:val="002A5F2F"/>
    <w:rsid w:val="002A6D4B"/>
    <w:rsid w:val="002A7A56"/>
    <w:rsid w:val="002B0E6F"/>
    <w:rsid w:val="002B3606"/>
    <w:rsid w:val="002B3DC9"/>
    <w:rsid w:val="002B74B3"/>
    <w:rsid w:val="002C3CC0"/>
    <w:rsid w:val="002C4C4E"/>
    <w:rsid w:val="002D2BAA"/>
    <w:rsid w:val="002D4231"/>
    <w:rsid w:val="002D4926"/>
    <w:rsid w:val="002D5624"/>
    <w:rsid w:val="002D7274"/>
    <w:rsid w:val="002E169B"/>
    <w:rsid w:val="002E23D8"/>
    <w:rsid w:val="002E2ADD"/>
    <w:rsid w:val="002E6767"/>
    <w:rsid w:val="003030B9"/>
    <w:rsid w:val="00305ED4"/>
    <w:rsid w:val="00306AA4"/>
    <w:rsid w:val="0030711F"/>
    <w:rsid w:val="003102D0"/>
    <w:rsid w:val="003105BD"/>
    <w:rsid w:val="003139B3"/>
    <w:rsid w:val="003140F1"/>
    <w:rsid w:val="0031701F"/>
    <w:rsid w:val="003175F2"/>
    <w:rsid w:val="0032097C"/>
    <w:rsid w:val="00321DD9"/>
    <w:rsid w:val="0032748B"/>
    <w:rsid w:val="00333584"/>
    <w:rsid w:val="00334BDD"/>
    <w:rsid w:val="00340462"/>
    <w:rsid w:val="00343F1D"/>
    <w:rsid w:val="00350D89"/>
    <w:rsid w:val="00355B4E"/>
    <w:rsid w:val="003566B6"/>
    <w:rsid w:val="00360BC0"/>
    <w:rsid w:val="00361A59"/>
    <w:rsid w:val="003626AF"/>
    <w:rsid w:val="003738F1"/>
    <w:rsid w:val="00374701"/>
    <w:rsid w:val="00374B71"/>
    <w:rsid w:val="003803B0"/>
    <w:rsid w:val="00381836"/>
    <w:rsid w:val="00384215"/>
    <w:rsid w:val="003913C6"/>
    <w:rsid w:val="00392821"/>
    <w:rsid w:val="00396726"/>
    <w:rsid w:val="00397358"/>
    <w:rsid w:val="003A01A1"/>
    <w:rsid w:val="003A35E4"/>
    <w:rsid w:val="003A3795"/>
    <w:rsid w:val="003A4207"/>
    <w:rsid w:val="003A4F4F"/>
    <w:rsid w:val="003A70C3"/>
    <w:rsid w:val="003B0135"/>
    <w:rsid w:val="003B01D3"/>
    <w:rsid w:val="003B04CC"/>
    <w:rsid w:val="003B24B0"/>
    <w:rsid w:val="003B4933"/>
    <w:rsid w:val="003B5E74"/>
    <w:rsid w:val="003C2FAC"/>
    <w:rsid w:val="003D1E20"/>
    <w:rsid w:val="003E1E71"/>
    <w:rsid w:val="003E66B5"/>
    <w:rsid w:val="003F7CC8"/>
    <w:rsid w:val="00405608"/>
    <w:rsid w:val="00406FA4"/>
    <w:rsid w:val="00411392"/>
    <w:rsid w:val="00411414"/>
    <w:rsid w:val="00411FBA"/>
    <w:rsid w:val="004150F0"/>
    <w:rsid w:val="0042106E"/>
    <w:rsid w:val="00424BDA"/>
    <w:rsid w:val="00430295"/>
    <w:rsid w:val="00433E55"/>
    <w:rsid w:val="00437AA7"/>
    <w:rsid w:val="00440B5E"/>
    <w:rsid w:val="0044168A"/>
    <w:rsid w:val="00441F1D"/>
    <w:rsid w:val="0044303B"/>
    <w:rsid w:val="00443298"/>
    <w:rsid w:val="00447A81"/>
    <w:rsid w:val="004566C8"/>
    <w:rsid w:val="00460EB0"/>
    <w:rsid w:val="00462F7C"/>
    <w:rsid w:val="00463F95"/>
    <w:rsid w:val="00465933"/>
    <w:rsid w:val="004674D2"/>
    <w:rsid w:val="00470163"/>
    <w:rsid w:val="004762CD"/>
    <w:rsid w:val="004844FB"/>
    <w:rsid w:val="00484B42"/>
    <w:rsid w:val="00485CAC"/>
    <w:rsid w:val="00486E0A"/>
    <w:rsid w:val="00490EF1"/>
    <w:rsid w:val="0049222B"/>
    <w:rsid w:val="0049242D"/>
    <w:rsid w:val="0049462F"/>
    <w:rsid w:val="00494CF6"/>
    <w:rsid w:val="004A33AB"/>
    <w:rsid w:val="004A3F61"/>
    <w:rsid w:val="004A488C"/>
    <w:rsid w:val="004A4FA2"/>
    <w:rsid w:val="004A5CA9"/>
    <w:rsid w:val="004A7D60"/>
    <w:rsid w:val="004B0A52"/>
    <w:rsid w:val="004B1DF7"/>
    <w:rsid w:val="004B4947"/>
    <w:rsid w:val="004B526E"/>
    <w:rsid w:val="004B6620"/>
    <w:rsid w:val="004C2432"/>
    <w:rsid w:val="004C6F93"/>
    <w:rsid w:val="004D02D5"/>
    <w:rsid w:val="004D2BA2"/>
    <w:rsid w:val="004D4875"/>
    <w:rsid w:val="004E3926"/>
    <w:rsid w:val="004E734F"/>
    <w:rsid w:val="004F0F76"/>
    <w:rsid w:val="004F582D"/>
    <w:rsid w:val="004F67CB"/>
    <w:rsid w:val="00501470"/>
    <w:rsid w:val="005015AE"/>
    <w:rsid w:val="0052054B"/>
    <w:rsid w:val="00521DA6"/>
    <w:rsid w:val="00524596"/>
    <w:rsid w:val="00530272"/>
    <w:rsid w:val="005309A3"/>
    <w:rsid w:val="005362A7"/>
    <w:rsid w:val="005364E8"/>
    <w:rsid w:val="0054005B"/>
    <w:rsid w:val="0054296B"/>
    <w:rsid w:val="00542AA3"/>
    <w:rsid w:val="00542D1A"/>
    <w:rsid w:val="0054616E"/>
    <w:rsid w:val="00550DAF"/>
    <w:rsid w:val="00551F22"/>
    <w:rsid w:val="00557D8E"/>
    <w:rsid w:val="00557F6A"/>
    <w:rsid w:val="00565261"/>
    <w:rsid w:val="005701F3"/>
    <w:rsid w:val="005720E0"/>
    <w:rsid w:val="005723F4"/>
    <w:rsid w:val="00581208"/>
    <w:rsid w:val="005832A5"/>
    <w:rsid w:val="0058384C"/>
    <w:rsid w:val="00586D7B"/>
    <w:rsid w:val="00587B17"/>
    <w:rsid w:val="00590EE7"/>
    <w:rsid w:val="005933D4"/>
    <w:rsid w:val="00593CCD"/>
    <w:rsid w:val="00594ECD"/>
    <w:rsid w:val="00595C69"/>
    <w:rsid w:val="00596ACC"/>
    <w:rsid w:val="005A4D2A"/>
    <w:rsid w:val="005B01A5"/>
    <w:rsid w:val="005B4174"/>
    <w:rsid w:val="005B6F62"/>
    <w:rsid w:val="005C102D"/>
    <w:rsid w:val="005C1CD6"/>
    <w:rsid w:val="005C5356"/>
    <w:rsid w:val="005C5D49"/>
    <w:rsid w:val="005C6A41"/>
    <w:rsid w:val="005D09A2"/>
    <w:rsid w:val="005D321D"/>
    <w:rsid w:val="005D3344"/>
    <w:rsid w:val="005D485D"/>
    <w:rsid w:val="005D4BCB"/>
    <w:rsid w:val="005D565C"/>
    <w:rsid w:val="005D62F4"/>
    <w:rsid w:val="005E640C"/>
    <w:rsid w:val="005E704E"/>
    <w:rsid w:val="005F1E81"/>
    <w:rsid w:val="005F33AA"/>
    <w:rsid w:val="005F44D7"/>
    <w:rsid w:val="005F6C43"/>
    <w:rsid w:val="005F6DEA"/>
    <w:rsid w:val="00600F9F"/>
    <w:rsid w:val="0060383B"/>
    <w:rsid w:val="00606215"/>
    <w:rsid w:val="00606A87"/>
    <w:rsid w:val="00612BC1"/>
    <w:rsid w:val="006154DF"/>
    <w:rsid w:val="006156A9"/>
    <w:rsid w:val="00616AF6"/>
    <w:rsid w:val="00621AE6"/>
    <w:rsid w:val="006248C3"/>
    <w:rsid w:val="00624DDD"/>
    <w:rsid w:val="006332B2"/>
    <w:rsid w:val="0063457B"/>
    <w:rsid w:val="00634DF0"/>
    <w:rsid w:val="00641A8E"/>
    <w:rsid w:val="00642246"/>
    <w:rsid w:val="00643463"/>
    <w:rsid w:val="0064726E"/>
    <w:rsid w:val="006541AA"/>
    <w:rsid w:val="00654B01"/>
    <w:rsid w:val="006650DA"/>
    <w:rsid w:val="00671B8B"/>
    <w:rsid w:val="00672672"/>
    <w:rsid w:val="006747A1"/>
    <w:rsid w:val="00675BB1"/>
    <w:rsid w:val="00676F01"/>
    <w:rsid w:val="00677128"/>
    <w:rsid w:val="00686F0E"/>
    <w:rsid w:val="006928A2"/>
    <w:rsid w:val="00693DA3"/>
    <w:rsid w:val="00697B56"/>
    <w:rsid w:val="006A4D89"/>
    <w:rsid w:val="006A5F41"/>
    <w:rsid w:val="006A67AD"/>
    <w:rsid w:val="006A791D"/>
    <w:rsid w:val="006B336D"/>
    <w:rsid w:val="006B40A6"/>
    <w:rsid w:val="006B4DF0"/>
    <w:rsid w:val="006C52CD"/>
    <w:rsid w:val="006C7D87"/>
    <w:rsid w:val="006D28F0"/>
    <w:rsid w:val="006D315F"/>
    <w:rsid w:val="006D3A6C"/>
    <w:rsid w:val="006D7D7F"/>
    <w:rsid w:val="006E2247"/>
    <w:rsid w:val="006E35A7"/>
    <w:rsid w:val="006F1C25"/>
    <w:rsid w:val="006F346F"/>
    <w:rsid w:val="006F6237"/>
    <w:rsid w:val="006F6BF4"/>
    <w:rsid w:val="006F6FC5"/>
    <w:rsid w:val="00703F9D"/>
    <w:rsid w:val="00705A4B"/>
    <w:rsid w:val="00705A5F"/>
    <w:rsid w:val="00713CFF"/>
    <w:rsid w:val="00716A25"/>
    <w:rsid w:val="007171BE"/>
    <w:rsid w:val="0073321F"/>
    <w:rsid w:val="007370E5"/>
    <w:rsid w:val="007420C5"/>
    <w:rsid w:val="00744EAF"/>
    <w:rsid w:val="0074670E"/>
    <w:rsid w:val="00747C79"/>
    <w:rsid w:val="00756657"/>
    <w:rsid w:val="00765512"/>
    <w:rsid w:val="0076701E"/>
    <w:rsid w:val="007718BE"/>
    <w:rsid w:val="007810E2"/>
    <w:rsid w:val="00782E84"/>
    <w:rsid w:val="007835C5"/>
    <w:rsid w:val="00787C43"/>
    <w:rsid w:val="00791524"/>
    <w:rsid w:val="00791733"/>
    <w:rsid w:val="0079203F"/>
    <w:rsid w:val="00793EB0"/>
    <w:rsid w:val="007A0981"/>
    <w:rsid w:val="007A391F"/>
    <w:rsid w:val="007A57EB"/>
    <w:rsid w:val="007B4DC4"/>
    <w:rsid w:val="007B4E59"/>
    <w:rsid w:val="007C0D02"/>
    <w:rsid w:val="007C2C60"/>
    <w:rsid w:val="007C31E7"/>
    <w:rsid w:val="007C3239"/>
    <w:rsid w:val="007D1C8C"/>
    <w:rsid w:val="007D229F"/>
    <w:rsid w:val="007D244B"/>
    <w:rsid w:val="007D286B"/>
    <w:rsid w:val="007D3563"/>
    <w:rsid w:val="007D4DA7"/>
    <w:rsid w:val="007D622F"/>
    <w:rsid w:val="007E289E"/>
    <w:rsid w:val="007E3EEA"/>
    <w:rsid w:val="007E6C71"/>
    <w:rsid w:val="007F26AF"/>
    <w:rsid w:val="007F28CB"/>
    <w:rsid w:val="007F2A7C"/>
    <w:rsid w:val="007F312E"/>
    <w:rsid w:val="007F361B"/>
    <w:rsid w:val="007F4F06"/>
    <w:rsid w:val="00804324"/>
    <w:rsid w:val="00804375"/>
    <w:rsid w:val="00807E5C"/>
    <w:rsid w:val="00811033"/>
    <w:rsid w:val="00812CA1"/>
    <w:rsid w:val="00812DA0"/>
    <w:rsid w:val="00813933"/>
    <w:rsid w:val="00820694"/>
    <w:rsid w:val="00821841"/>
    <w:rsid w:val="00824D61"/>
    <w:rsid w:val="00824DB2"/>
    <w:rsid w:val="00825265"/>
    <w:rsid w:val="008318A6"/>
    <w:rsid w:val="00832449"/>
    <w:rsid w:val="0083387A"/>
    <w:rsid w:val="00834BFE"/>
    <w:rsid w:val="00834EFD"/>
    <w:rsid w:val="00843A5F"/>
    <w:rsid w:val="00844BD0"/>
    <w:rsid w:val="00845572"/>
    <w:rsid w:val="00846120"/>
    <w:rsid w:val="008467A2"/>
    <w:rsid w:val="0084768D"/>
    <w:rsid w:val="00847F31"/>
    <w:rsid w:val="008607B8"/>
    <w:rsid w:val="00863ECB"/>
    <w:rsid w:val="00864C45"/>
    <w:rsid w:val="0086739E"/>
    <w:rsid w:val="00870E8B"/>
    <w:rsid w:val="008735C8"/>
    <w:rsid w:val="00873F60"/>
    <w:rsid w:val="00882FC5"/>
    <w:rsid w:val="0088480F"/>
    <w:rsid w:val="00884A98"/>
    <w:rsid w:val="00885F61"/>
    <w:rsid w:val="00886255"/>
    <w:rsid w:val="0089040C"/>
    <w:rsid w:val="008915CB"/>
    <w:rsid w:val="00893F20"/>
    <w:rsid w:val="00894109"/>
    <w:rsid w:val="0089530E"/>
    <w:rsid w:val="00896CA5"/>
    <w:rsid w:val="00896D32"/>
    <w:rsid w:val="008A6C46"/>
    <w:rsid w:val="008A71E5"/>
    <w:rsid w:val="008B0D03"/>
    <w:rsid w:val="008B380A"/>
    <w:rsid w:val="008B7B93"/>
    <w:rsid w:val="008C123B"/>
    <w:rsid w:val="008C2B7C"/>
    <w:rsid w:val="008C710E"/>
    <w:rsid w:val="008C7250"/>
    <w:rsid w:val="008C77FA"/>
    <w:rsid w:val="008C7A68"/>
    <w:rsid w:val="008D4F7B"/>
    <w:rsid w:val="008D6435"/>
    <w:rsid w:val="008D75E4"/>
    <w:rsid w:val="008E718D"/>
    <w:rsid w:val="008F5269"/>
    <w:rsid w:val="00901A0F"/>
    <w:rsid w:val="00902B36"/>
    <w:rsid w:val="009057FA"/>
    <w:rsid w:val="009061D4"/>
    <w:rsid w:val="0090667B"/>
    <w:rsid w:val="00910A4D"/>
    <w:rsid w:val="00910AEC"/>
    <w:rsid w:val="00910F12"/>
    <w:rsid w:val="0091239A"/>
    <w:rsid w:val="009131AA"/>
    <w:rsid w:val="009134AF"/>
    <w:rsid w:val="0092297E"/>
    <w:rsid w:val="0093142F"/>
    <w:rsid w:val="009378FD"/>
    <w:rsid w:val="00944952"/>
    <w:rsid w:val="00947CC3"/>
    <w:rsid w:val="0095160B"/>
    <w:rsid w:val="00952B56"/>
    <w:rsid w:val="00954449"/>
    <w:rsid w:val="009557C3"/>
    <w:rsid w:val="00964658"/>
    <w:rsid w:val="00966490"/>
    <w:rsid w:val="009670E3"/>
    <w:rsid w:val="00970A34"/>
    <w:rsid w:val="00971CAB"/>
    <w:rsid w:val="00972168"/>
    <w:rsid w:val="00976D32"/>
    <w:rsid w:val="00980D3B"/>
    <w:rsid w:val="00981D3C"/>
    <w:rsid w:val="009837B8"/>
    <w:rsid w:val="00986C63"/>
    <w:rsid w:val="00990E06"/>
    <w:rsid w:val="00992CC5"/>
    <w:rsid w:val="00994DAF"/>
    <w:rsid w:val="00994E8D"/>
    <w:rsid w:val="009952C7"/>
    <w:rsid w:val="00995A6D"/>
    <w:rsid w:val="00997BBB"/>
    <w:rsid w:val="00997EBC"/>
    <w:rsid w:val="009A3B32"/>
    <w:rsid w:val="009A6B3A"/>
    <w:rsid w:val="009A72E0"/>
    <w:rsid w:val="009A7B92"/>
    <w:rsid w:val="009B2CE9"/>
    <w:rsid w:val="009B3FFE"/>
    <w:rsid w:val="009B665E"/>
    <w:rsid w:val="009B66C3"/>
    <w:rsid w:val="009B6721"/>
    <w:rsid w:val="009B696F"/>
    <w:rsid w:val="009B79FD"/>
    <w:rsid w:val="009C03BD"/>
    <w:rsid w:val="009C552F"/>
    <w:rsid w:val="009C69CD"/>
    <w:rsid w:val="009E1D72"/>
    <w:rsid w:val="009E3C21"/>
    <w:rsid w:val="009E58D1"/>
    <w:rsid w:val="009E5E74"/>
    <w:rsid w:val="009F17AB"/>
    <w:rsid w:val="009F26A9"/>
    <w:rsid w:val="009F3CB7"/>
    <w:rsid w:val="009F4DC0"/>
    <w:rsid w:val="009F6366"/>
    <w:rsid w:val="009F6629"/>
    <w:rsid w:val="009F6DEE"/>
    <w:rsid w:val="009F7453"/>
    <w:rsid w:val="00A02DEA"/>
    <w:rsid w:val="00A032A4"/>
    <w:rsid w:val="00A03327"/>
    <w:rsid w:val="00A037BE"/>
    <w:rsid w:val="00A04E27"/>
    <w:rsid w:val="00A10AB9"/>
    <w:rsid w:val="00A13C70"/>
    <w:rsid w:val="00A150BD"/>
    <w:rsid w:val="00A20614"/>
    <w:rsid w:val="00A23A76"/>
    <w:rsid w:val="00A2488E"/>
    <w:rsid w:val="00A24B46"/>
    <w:rsid w:val="00A36795"/>
    <w:rsid w:val="00A368E5"/>
    <w:rsid w:val="00A369FF"/>
    <w:rsid w:val="00A40595"/>
    <w:rsid w:val="00A40CE2"/>
    <w:rsid w:val="00A46197"/>
    <w:rsid w:val="00A50528"/>
    <w:rsid w:val="00A5115F"/>
    <w:rsid w:val="00A61AEC"/>
    <w:rsid w:val="00A62213"/>
    <w:rsid w:val="00A6504E"/>
    <w:rsid w:val="00A675DD"/>
    <w:rsid w:val="00A710F1"/>
    <w:rsid w:val="00A7255B"/>
    <w:rsid w:val="00A7440A"/>
    <w:rsid w:val="00A761ED"/>
    <w:rsid w:val="00A7636F"/>
    <w:rsid w:val="00A766D1"/>
    <w:rsid w:val="00A77064"/>
    <w:rsid w:val="00A8009F"/>
    <w:rsid w:val="00A8313F"/>
    <w:rsid w:val="00A849EA"/>
    <w:rsid w:val="00A8536B"/>
    <w:rsid w:val="00A858E6"/>
    <w:rsid w:val="00A91835"/>
    <w:rsid w:val="00A926E6"/>
    <w:rsid w:val="00A95299"/>
    <w:rsid w:val="00AA2FB5"/>
    <w:rsid w:val="00AA3646"/>
    <w:rsid w:val="00AA7224"/>
    <w:rsid w:val="00AA753C"/>
    <w:rsid w:val="00AB5063"/>
    <w:rsid w:val="00AB5464"/>
    <w:rsid w:val="00AB715C"/>
    <w:rsid w:val="00AB7C44"/>
    <w:rsid w:val="00AB7CC0"/>
    <w:rsid w:val="00AC0BFC"/>
    <w:rsid w:val="00AC5EA5"/>
    <w:rsid w:val="00AC680A"/>
    <w:rsid w:val="00AD2E4C"/>
    <w:rsid w:val="00AD34F2"/>
    <w:rsid w:val="00AD42D4"/>
    <w:rsid w:val="00AD4DE4"/>
    <w:rsid w:val="00AE0D38"/>
    <w:rsid w:val="00AE22FE"/>
    <w:rsid w:val="00AE3055"/>
    <w:rsid w:val="00AE4B1C"/>
    <w:rsid w:val="00AF1F55"/>
    <w:rsid w:val="00AF5590"/>
    <w:rsid w:val="00AF5ACA"/>
    <w:rsid w:val="00AF7909"/>
    <w:rsid w:val="00B015BD"/>
    <w:rsid w:val="00B0391C"/>
    <w:rsid w:val="00B0515B"/>
    <w:rsid w:val="00B06646"/>
    <w:rsid w:val="00B0700F"/>
    <w:rsid w:val="00B07451"/>
    <w:rsid w:val="00B14B48"/>
    <w:rsid w:val="00B155D1"/>
    <w:rsid w:val="00B17BB6"/>
    <w:rsid w:val="00B17F5E"/>
    <w:rsid w:val="00B200AB"/>
    <w:rsid w:val="00B22ABB"/>
    <w:rsid w:val="00B2376E"/>
    <w:rsid w:val="00B24B5D"/>
    <w:rsid w:val="00B2541A"/>
    <w:rsid w:val="00B258E5"/>
    <w:rsid w:val="00B25A77"/>
    <w:rsid w:val="00B26D4B"/>
    <w:rsid w:val="00B270BF"/>
    <w:rsid w:val="00B2734D"/>
    <w:rsid w:val="00B276D1"/>
    <w:rsid w:val="00B4095D"/>
    <w:rsid w:val="00B42CD4"/>
    <w:rsid w:val="00B45438"/>
    <w:rsid w:val="00B46096"/>
    <w:rsid w:val="00B46D8D"/>
    <w:rsid w:val="00B47BCE"/>
    <w:rsid w:val="00B52DC1"/>
    <w:rsid w:val="00B534AA"/>
    <w:rsid w:val="00B53CC5"/>
    <w:rsid w:val="00B54160"/>
    <w:rsid w:val="00B547B9"/>
    <w:rsid w:val="00B54EC0"/>
    <w:rsid w:val="00B55D6C"/>
    <w:rsid w:val="00B608C1"/>
    <w:rsid w:val="00B70E08"/>
    <w:rsid w:val="00B70FB0"/>
    <w:rsid w:val="00B7641F"/>
    <w:rsid w:val="00B818D1"/>
    <w:rsid w:val="00B92A3C"/>
    <w:rsid w:val="00B949EF"/>
    <w:rsid w:val="00B96163"/>
    <w:rsid w:val="00BA133F"/>
    <w:rsid w:val="00BA702F"/>
    <w:rsid w:val="00BB0D5D"/>
    <w:rsid w:val="00BB1BD9"/>
    <w:rsid w:val="00BB23BB"/>
    <w:rsid w:val="00BB4B3B"/>
    <w:rsid w:val="00BB66E8"/>
    <w:rsid w:val="00BB7609"/>
    <w:rsid w:val="00BC00D7"/>
    <w:rsid w:val="00BC2494"/>
    <w:rsid w:val="00BC431D"/>
    <w:rsid w:val="00BD333C"/>
    <w:rsid w:val="00BD7A90"/>
    <w:rsid w:val="00BE03CF"/>
    <w:rsid w:val="00BE476F"/>
    <w:rsid w:val="00BF0AF5"/>
    <w:rsid w:val="00BF3ACB"/>
    <w:rsid w:val="00BF459B"/>
    <w:rsid w:val="00BF486C"/>
    <w:rsid w:val="00BF6C2F"/>
    <w:rsid w:val="00C00D1E"/>
    <w:rsid w:val="00C03612"/>
    <w:rsid w:val="00C03D5A"/>
    <w:rsid w:val="00C0542E"/>
    <w:rsid w:val="00C0699A"/>
    <w:rsid w:val="00C073A4"/>
    <w:rsid w:val="00C0765F"/>
    <w:rsid w:val="00C1104C"/>
    <w:rsid w:val="00C115E1"/>
    <w:rsid w:val="00C11B0C"/>
    <w:rsid w:val="00C146BB"/>
    <w:rsid w:val="00C14FFA"/>
    <w:rsid w:val="00C15027"/>
    <w:rsid w:val="00C16C73"/>
    <w:rsid w:val="00C171F8"/>
    <w:rsid w:val="00C23317"/>
    <w:rsid w:val="00C244E6"/>
    <w:rsid w:val="00C25239"/>
    <w:rsid w:val="00C2538D"/>
    <w:rsid w:val="00C2658C"/>
    <w:rsid w:val="00C27360"/>
    <w:rsid w:val="00C30FC6"/>
    <w:rsid w:val="00C31899"/>
    <w:rsid w:val="00C32531"/>
    <w:rsid w:val="00C36071"/>
    <w:rsid w:val="00C36B82"/>
    <w:rsid w:val="00C37BAC"/>
    <w:rsid w:val="00C4271B"/>
    <w:rsid w:val="00C44450"/>
    <w:rsid w:val="00C4594C"/>
    <w:rsid w:val="00C46CF7"/>
    <w:rsid w:val="00C500D0"/>
    <w:rsid w:val="00C51BAD"/>
    <w:rsid w:val="00C552BE"/>
    <w:rsid w:val="00C55DC9"/>
    <w:rsid w:val="00C56262"/>
    <w:rsid w:val="00C6019A"/>
    <w:rsid w:val="00C636A0"/>
    <w:rsid w:val="00C65153"/>
    <w:rsid w:val="00C656BE"/>
    <w:rsid w:val="00C70345"/>
    <w:rsid w:val="00C771B1"/>
    <w:rsid w:val="00C84E02"/>
    <w:rsid w:val="00C9007C"/>
    <w:rsid w:val="00C94809"/>
    <w:rsid w:val="00CA2336"/>
    <w:rsid w:val="00CA672B"/>
    <w:rsid w:val="00CB113E"/>
    <w:rsid w:val="00CB2D8D"/>
    <w:rsid w:val="00CB7394"/>
    <w:rsid w:val="00CC1D11"/>
    <w:rsid w:val="00CC2B09"/>
    <w:rsid w:val="00CC3DCB"/>
    <w:rsid w:val="00CC5174"/>
    <w:rsid w:val="00CC7F09"/>
    <w:rsid w:val="00CD086B"/>
    <w:rsid w:val="00CD0EB3"/>
    <w:rsid w:val="00CD1476"/>
    <w:rsid w:val="00CD2367"/>
    <w:rsid w:val="00CD3427"/>
    <w:rsid w:val="00CD5A2C"/>
    <w:rsid w:val="00CE16F4"/>
    <w:rsid w:val="00CE30CE"/>
    <w:rsid w:val="00CE351A"/>
    <w:rsid w:val="00CE52FC"/>
    <w:rsid w:val="00CE5666"/>
    <w:rsid w:val="00CE71A9"/>
    <w:rsid w:val="00CF089B"/>
    <w:rsid w:val="00CF0D8B"/>
    <w:rsid w:val="00CF16B4"/>
    <w:rsid w:val="00CF51DC"/>
    <w:rsid w:val="00CF6986"/>
    <w:rsid w:val="00D00642"/>
    <w:rsid w:val="00D03233"/>
    <w:rsid w:val="00D05983"/>
    <w:rsid w:val="00D06194"/>
    <w:rsid w:val="00D112C7"/>
    <w:rsid w:val="00D11BBC"/>
    <w:rsid w:val="00D127DD"/>
    <w:rsid w:val="00D12BED"/>
    <w:rsid w:val="00D1349E"/>
    <w:rsid w:val="00D216C9"/>
    <w:rsid w:val="00D2278A"/>
    <w:rsid w:val="00D249D5"/>
    <w:rsid w:val="00D24A78"/>
    <w:rsid w:val="00D24BF3"/>
    <w:rsid w:val="00D31ADC"/>
    <w:rsid w:val="00D32F10"/>
    <w:rsid w:val="00D33468"/>
    <w:rsid w:val="00D33BB4"/>
    <w:rsid w:val="00D34409"/>
    <w:rsid w:val="00D37A85"/>
    <w:rsid w:val="00D41F82"/>
    <w:rsid w:val="00D4259C"/>
    <w:rsid w:val="00D438C8"/>
    <w:rsid w:val="00D45E81"/>
    <w:rsid w:val="00D46B7A"/>
    <w:rsid w:val="00D47CAE"/>
    <w:rsid w:val="00D51A76"/>
    <w:rsid w:val="00D564C0"/>
    <w:rsid w:val="00D5796F"/>
    <w:rsid w:val="00D612E9"/>
    <w:rsid w:val="00D62452"/>
    <w:rsid w:val="00D64397"/>
    <w:rsid w:val="00D6526C"/>
    <w:rsid w:val="00D66519"/>
    <w:rsid w:val="00D710CD"/>
    <w:rsid w:val="00D72DAD"/>
    <w:rsid w:val="00D741A2"/>
    <w:rsid w:val="00D75268"/>
    <w:rsid w:val="00D75994"/>
    <w:rsid w:val="00D76C09"/>
    <w:rsid w:val="00D84B80"/>
    <w:rsid w:val="00D868ED"/>
    <w:rsid w:val="00D8710E"/>
    <w:rsid w:val="00D875E6"/>
    <w:rsid w:val="00D87642"/>
    <w:rsid w:val="00D90C96"/>
    <w:rsid w:val="00D91658"/>
    <w:rsid w:val="00D93B9C"/>
    <w:rsid w:val="00D954BC"/>
    <w:rsid w:val="00D9636B"/>
    <w:rsid w:val="00D975D3"/>
    <w:rsid w:val="00DA02A4"/>
    <w:rsid w:val="00DA154E"/>
    <w:rsid w:val="00DA2249"/>
    <w:rsid w:val="00DA5045"/>
    <w:rsid w:val="00DB2C43"/>
    <w:rsid w:val="00DB3313"/>
    <w:rsid w:val="00DC1B5F"/>
    <w:rsid w:val="00DC373D"/>
    <w:rsid w:val="00DC49A7"/>
    <w:rsid w:val="00DD0E5C"/>
    <w:rsid w:val="00DD1138"/>
    <w:rsid w:val="00DD55CD"/>
    <w:rsid w:val="00DE162D"/>
    <w:rsid w:val="00DE165E"/>
    <w:rsid w:val="00DE4E1D"/>
    <w:rsid w:val="00DE6D4B"/>
    <w:rsid w:val="00E05E08"/>
    <w:rsid w:val="00E077AB"/>
    <w:rsid w:val="00E11616"/>
    <w:rsid w:val="00E116A6"/>
    <w:rsid w:val="00E11BB8"/>
    <w:rsid w:val="00E128B5"/>
    <w:rsid w:val="00E13210"/>
    <w:rsid w:val="00E156AC"/>
    <w:rsid w:val="00E20A77"/>
    <w:rsid w:val="00E2375F"/>
    <w:rsid w:val="00E31820"/>
    <w:rsid w:val="00E334FC"/>
    <w:rsid w:val="00E335CE"/>
    <w:rsid w:val="00E3362A"/>
    <w:rsid w:val="00E36738"/>
    <w:rsid w:val="00E37B69"/>
    <w:rsid w:val="00E37F8B"/>
    <w:rsid w:val="00E42E09"/>
    <w:rsid w:val="00E43F5F"/>
    <w:rsid w:val="00E44B4C"/>
    <w:rsid w:val="00E45649"/>
    <w:rsid w:val="00E45BD1"/>
    <w:rsid w:val="00E46C3F"/>
    <w:rsid w:val="00E50D88"/>
    <w:rsid w:val="00E53F27"/>
    <w:rsid w:val="00E6187D"/>
    <w:rsid w:val="00E624F8"/>
    <w:rsid w:val="00E626B1"/>
    <w:rsid w:val="00E628EA"/>
    <w:rsid w:val="00E63D0C"/>
    <w:rsid w:val="00E70BB3"/>
    <w:rsid w:val="00E7374E"/>
    <w:rsid w:val="00E80448"/>
    <w:rsid w:val="00E825B0"/>
    <w:rsid w:val="00E85478"/>
    <w:rsid w:val="00E8575C"/>
    <w:rsid w:val="00E869D1"/>
    <w:rsid w:val="00E909B0"/>
    <w:rsid w:val="00E912F7"/>
    <w:rsid w:val="00E956B3"/>
    <w:rsid w:val="00E962A9"/>
    <w:rsid w:val="00EA0CB0"/>
    <w:rsid w:val="00EA0E23"/>
    <w:rsid w:val="00EA4508"/>
    <w:rsid w:val="00EA6B77"/>
    <w:rsid w:val="00EA72B4"/>
    <w:rsid w:val="00EA755F"/>
    <w:rsid w:val="00EB4817"/>
    <w:rsid w:val="00EB4CE4"/>
    <w:rsid w:val="00EC182C"/>
    <w:rsid w:val="00EC432C"/>
    <w:rsid w:val="00EC6ECB"/>
    <w:rsid w:val="00EC7618"/>
    <w:rsid w:val="00ED3CAC"/>
    <w:rsid w:val="00ED45DE"/>
    <w:rsid w:val="00ED6484"/>
    <w:rsid w:val="00ED7709"/>
    <w:rsid w:val="00ED7ACA"/>
    <w:rsid w:val="00EE0394"/>
    <w:rsid w:val="00EE1DB6"/>
    <w:rsid w:val="00EE7486"/>
    <w:rsid w:val="00EF302A"/>
    <w:rsid w:val="00EF75E0"/>
    <w:rsid w:val="00EF788C"/>
    <w:rsid w:val="00F00C0F"/>
    <w:rsid w:val="00F03D65"/>
    <w:rsid w:val="00F12553"/>
    <w:rsid w:val="00F138F5"/>
    <w:rsid w:val="00F210AF"/>
    <w:rsid w:val="00F22264"/>
    <w:rsid w:val="00F224B9"/>
    <w:rsid w:val="00F22C85"/>
    <w:rsid w:val="00F26916"/>
    <w:rsid w:val="00F31C31"/>
    <w:rsid w:val="00F335E9"/>
    <w:rsid w:val="00F33A49"/>
    <w:rsid w:val="00F36DDF"/>
    <w:rsid w:val="00F43E29"/>
    <w:rsid w:val="00F43EDA"/>
    <w:rsid w:val="00F44EB6"/>
    <w:rsid w:val="00F46094"/>
    <w:rsid w:val="00F52225"/>
    <w:rsid w:val="00F543BC"/>
    <w:rsid w:val="00F60367"/>
    <w:rsid w:val="00F625B5"/>
    <w:rsid w:val="00F62994"/>
    <w:rsid w:val="00F70675"/>
    <w:rsid w:val="00F73336"/>
    <w:rsid w:val="00F80083"/>
    <w:rsid w:val="00F80D00"/>
    <w:rsid w:val="00F80DCF"/>
    <w:rsid w:val="00F83631"/>
    <w:rsid w:val="00F83747"/>
    <w:rsid w:val="00F910F1"/>
    <w:rsid w:val="00F92582"/>
    <w:rsid w:val="00F95ACC"/>
    <w:rsid w:val="00F97090"/>
    <w:rsid w:val="00FA0569"/>
    <w:rsid w:val="00FA249E"/>
    <w:rsid w:val="00FA5493"/>
    <w:rsid w:val="00FB2B94"/>
    <w:rsid w:val="00FB4229"/>
    <w:rsid w:val="00FC23BD"/>
    <w:rsid w:val="00FC3AF4"/>
    <w:rsid w:val="00FC3DCA"/>
    <w:rsid w:val="00FC49BA"/>
    <w:rsid w:val="00FC56D8"/>
    <w:rsid w:val="00FC738B"/>
    <w:rsid w:val="00FD0758"/>
    <w:rsid w:val="00FD07EA"/>
    <w:rsid w:val="00FD13F0"/>
    <w:rsid w:val="00FD2996"/>
    <w:rsid w:val="00FD4EB0"/>
    <w:rsid w:val="00FF37A9"/>
    <w:rsid w:val="02AE0D46"/>
    <w:rsid w:val="11937378"/>
    <w:rsid w:val="19FD26B3"/>
    <w:rsid w:val="20073662"/>
    <w:rsid w:val="35792B4A"/>
    <w:rsid w:val="38D60B88"/>
    <w:rsid w:val="487C0381"/>
    <w:rsid w:val="527641DA"/>
    <w:rsid w:val="593C60C0"/>
    <w:rsid w:val="5B1F3B03"/>
    <w:rsid w:val="670C083D"/>
    <w:rsid w:val="75543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rPr>
      <w:rFonts w:ascii="Times New Roman" w:hAnsi="Times New Roman" w:cs="Times New Roman"/>
      <w:sz w:val="24"/>
      <w:szCs w:val="24"/>
    </w:rPr>
  </w:style>
  <w:style w:type="paragraph" w:styleId="7">
    <w:name w:val="annotation subject"/>
    <w:basedOn w:val="2"/>
    <w:next w:val="2"/>
    <w:link w:val="17"/>
    <w:autoRedefine/>
    <w:semiHidden/>
    <w:unhideWhenUsed/>
    <w:qFormat/>
    <w:uiPriority w:val="99"/>
    <w:rPr>
      <w:b/>
      <w:bCs/>
    </w:rPr>
  </w:style>
  <w:style w:type="character" w:styleId="10">
    <w:name w:val="annotation reference"/>
    <w:basedOn w:val="9"/>
    <w:autoRedefine/>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autoRedefine/>
    <w:qFormat/>
    <w:uiPriority w:val="99"/>
    <w:rPr>
      <w:sz w:val="18"/>
      <w:szCs w:val="18"/>
    </w:rPr>
  </w:style>
  <w:style w:type="paragraph" w:styleId="13">
    <w:name w:val="List Paragraph"/>
    <w:basedOn w:val="1"/>
    <w:link w:val="23"/>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paragraph" w:customStyle="1" w:styleId="15">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16">
    <w:name w:val="批注文字 字符"/>
    <w:basedOn w:val="9"/>
    <w:link w:val="2"/>
    <w:autoRedefine/>
    <w:qFormat/>
    <w:uiPriority w:val="99"/>
  </w:style>
  <w:style w:type="character" w:customStyle="1" w:styleId="17">
    <w:name w:val="批注主题 字符"/>
    <w:basedOn w:val="16"/>
    <w:link w:val="7"/>
    <w:autoRedefine/>
    <w:semiHidden/>
    <w:qFormat/>
    <w:uiPriority w:val="99"/>
    <w:rPr>
      <w:b/>
      <w:bCs/>
    </w:rPr>
  </w:style>
  <w:style w:type="paragraph" w:customStyle="1" w:styleId="18">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9">
    <w:name w:val="段 Char"/>
    <w:basedOn w:val="9"/>
    <w:link w:val="20"/>
    <w:autoRedefine/>
    <w:qFormat/>
    <w:uiPriority w:val="0"/>
    <w:rPr>
      <w:rFonts w:ascii="宋体" w:hAnsi="Times New Roman" w:eastAsia="宋体" w:cs="Times New Roman"/>
    </w:rPr>
  </w:style>
  <w:style w:type="paragraph" w:customStyle="1" w:styleId="20">
    <w:name w:val="段"/>
    <w:basedOn w:val="1"/>
    <w:link w:val="19"/>
    <w:autoRedefine/>
    <w:qFormat/>
    <w:uiPriority w:val="0"/>
    <w:pPr>
      <w:widowControl/>
      <w:tabs>
        <w:tab w:val="center" w:pos="4201"/>
        <w:tab w:val="right" w:leader="dot" w:pos="9298"/>
      </w:tabs>
      <w:autoSpaceDE w:val="0"/>
      <w:autoSpaceDN w:val="0"/>
      <w:ind w:firstLine="420" w:firstLineChars="200"/>
    </w:pPr>
    <w:rPr>
      <w:rFonts w:ascii="宋体" w:hAnsi="Times New Roman" w:eastAsia="宋体" w:cs="Times New Roman"/>
    </w:rPr>
  </w:style>
  <w:style w:type="character" w:customStyle="1" w:styleId="21">
    <w:name w:val="15"/>
    <w:basedOn w:val="9"/>
    <w:autoRedefine/>
    <w:qFormat/>
    <w:uiPriority w:val="0"/>
    <w:rPr>
      <w:rFonts w:hint="eastAsia" w:ascii="宋体" w:hAnsi="宋体" w:eastAsia="宋体"/>
      <w:color w:val="000000"/>
      <w:sz w:val="22"/>
      <w:szCs w:val="22"/>
    </w:rPr>
  </w:style>
  <w:style w:type="paragraph" w:customStyle="1" w:styleId="22">
    <w:name w:val="列出段落1"/>
    <w:basedOn w:val="1"/>
    <w:autoRedefine/>
    <w:qFormat/>
    <w:uiPriority w:val="0"/>
    <w:pPr>
      <w:ind w:firstLine="420" w:firstLineChars="200"/>
    </w:pPr>
    <w:rPr>
      <w:rFonts w:ascii="Calibri" w:hAnsi="Calibri" w:eastAsia="宋体" w:cs="Times New Roman"/>
      <w:szCs w:val="21"/>
    </w:rPr>
  </w:style>
  <w:style w:type="character" w:customStyle="1" w:styleId="23">
    <w:name w:val="列表段落 字符"/>
    <w:basedOn w:val="9"/>
    <w:link w:val="13"/>
    <w:autoRedefine/>
    <w:qFormat/>
    <w:uiPriority w:val="34"/>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423CF-C636-41B0-91D1-A01A0E6C2C68}">
  <ds:schemaRefs/>
</ds:datastoreItem>
</file>

<file path=docProps/app.xml><?xml version="1.0" encoding="utf-8"?>
<Properties xmlns="http://schemas.openxmlformats.org/officeDocument/2006/extended-properties" xmlns:vt="http://schemas.openxmlformats.org/officeDocument/2006/docPropsVTypes">
  <Template>Normal</Template>
  <Pages>3</Pages>
  <Words>1799</Words>
  <Characters>1992</Characters>
  <Lines>2</Lines>
  <Paragraphs>1</Paragraphs>
  <TotalTime>1</TotalTime>
  <ScaleCrop>false</ScaleCrop>
  <LinksUpToDate>false</LinksUpToDate>
  <CharactersWithSpaces>2026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2025-06-16T03:02:00Z</dcterms:created>
  <dc:creator>王亚宁</dc:creator>
  <cp:lastModifiedBy>冯帆</cp:lastModifiedBy>
  <cp:lastPrinted>2015-10-12T02:29:00Z</cp:lastPrinted>
  <dcterms:modified xsi:type="dcterms:W3CDTF">2025-06-23T05:56:42Z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0AA0F80DC1A14415972D285E467C7381_13</vt:lpwstr>
  </property>
  <property fmtid="{D5CDD505-2E9C-101B-9397-08002B2CF9AE}" pid="4" name="KSOTemplateDocerSaveRecord">
    <vt:lpwstr>eyJoZGlkIjoiNzRlMGJiZTY3ZDA1YTE3MjE0NWYzZmUwOGY3M2RiNDUiLCJ1c2VySWQiOiIyODU3NzIwNjYifQ==</vt:lpwstr>
  </property>
</Properties>
</file>